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rFonts w:hint="eastAsia"/>
          <w:b/>
          <w:bCs/>
          <w:snapToGrid w:val="0"/>
          <w:kern w:val="0"/>
          <w:sz w:val="28"/>
          <w:szCs w:val="28"/>
        </w:rPr>
      </w:pPr>
      <w:r>
        <w:rPr>
          <w:rFonts w:hint="eastAsia"/>
          <w:b/>
          <w:bCs/>
          <w:snapToGrid w:val="0"/>
          <w:kern w:val="0"/>
          <w:sz w:val="28"/>
          <w:szCs w:val="28"/>
        </w:rPr>
        <w:t xml:space="preserve"> </w:t>
      </w:r>
    </w:p>
    <w:p w14:paraId="2BE1D643">
      <w:pPr>
        <w:adjustRightInd w:val="0"/>
        <w:snapToGrid w:val="0"/>
        <w:spacing w:line="300" w:lineRule="auto"/>
        <w:jc w:val="left"/>
        <w:rPr>
          <w:rFonts w:hint="eastAsia"/>
          <w:b/>
          <w:bCs/>
          <w:snapToGrid w:val="0"/>
          <w:kern w:val="0"/>
          <w:sz w:val="28"/>
          <w:szCs w:val="28"/>
        </w:rPr>
      </w:pP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2025年春节慰问品</w:t>
      </w:r>
    </w:p>
    <w:p w14:paraId="504506B8">
      <w:pPr>
        <w:adjustRightInd w:val="0"/>
        <w:snapToGrid w:val="0"/>
        <w:spacing w:line="300" w:lineRule="auto"/>
        <w:jc w:val="center"/>
        <w:rPr>
          <w:rFonts w:ascii="经典标宋简" w:eastAsia="经典标宋简"/>
          <w:b/>
          <w:snapToGrid w:val="0"/>
          <w:kern w:val="0"/>
          <w:sz w:val="44"/>
          <w:szCs w:val="44"/>
        </w:rPr>
      </w:pPr>
    </w:p>
    <w:p w14:paraId="7570B773">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SZZZ2024-QC0502</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二〇二四年</w:t>
      </w:r>
      <w:r>
        <w:rPr>
          <w:rFonts w:hint="eastAsia"/>
          <w:b/>
          <w:snapToGrid w:val="0"/>
          <w:sz w:val="30"/>
          <w:lang w:val="en-US" w:eastAsia="zh-CN"/>
        </w:rPr>
        <w:t>十二</w:t>
      </w:r>
      <w:r>
        <w:rPr>
          <w:rFonts w:hint="eastAsia"/>
          <w:b/>
          <w:snapToGrid w:val="0"/>
          <w:sz w:val="30"/>
        </w:rPr>
        <w:t>月</w:t>
      </w:r>
    </w:p>
    <w:p w14:paraId="3E569EB4"/>
    <w:p w14:paraId="4496843E">
      <w:pPr>
        <w:jc w:val="both"/>
        <w:rPr>
          <w:rFonts w:asciiTheme="minorEastAsia" w:hAnsiTheme="minorEastAsia" w:eastAsiaTheme="minorEastAsia"/>
          <w:b/>
          <w:bCs/>
          <w:sz w:val="44"/>
          <w:szCs w:val="44"/>
        </w:rPr>
      </w:pPr>
    </w:p>
    <w:p w14:paraId="648A1140">
      <w:pPr>
        <w:jc w:val="center"/>
        <w:rPr>
          <w:rFonts w:hint="eastAsia"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6AEFB5E2">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1AB0ADF4">
      <w:pPr>
        <w:spacing w:line="440" w:lineRule="exact"/>
        <w:ind w:firstLine="426" w:firstLineChars="177"/>
        <w:rPr>
          <w:rFonts w:ascii="仿宋_GB2312" w:eastAsia="仿宋_GB2312" w:hAnsiTheme="minorEastAsia"/>
          <w:b/>
          <w:color w:val="FF0000"/>
          <w:sz w:val="24"/>
        </w:rPr>
      </w:pPr>
    </w:p>
    <w:p w14:paraId="7975FB60">
      <w:pPr>
        <w:spacing w:line="440" w:lineRule="exact"/>
        <w:ind w:firstLine="426" w:firstLineChars="177"/>
        <w:rPr>
          <w:rFonts w:ascii="仿宋_GB2312" w:eastAsia="仿宋_GB2312" w:hAnsiTheme="minorEastAsia"/>
          <w:b/>
          <w:color w:val="FF0000"/>
          <w:sz w:val="24"/>
        </w:rPr>
      </w:pPr>
    </w:p>
    <w:p w14:paraId="0AACFF0F">
      <w:pPr>
        <w:spacing w:line="440" w:lineRule="exact"/>
        <w:ind w:firstLine="426" w:firstLineChars="177"/>
        <w:rPr>
          <w:rFonts w:ascii="仿宋_GB2312" w:eastAsia="仿宋_GB2312" w:hAnsiTheme="minorEastAsia"/>
          <w:b/>
          <w:color w:val="FF0000"/>
          <w:sz w:val="24"/>
        </w:rPr>
      </w:pPr>
    </w:p>
    <w:p w14:paraId="4FCD1789">
      <w:pPr>
        <w:spacing w:line="440" w:lineRule="exact"/>
        <w:ind w:firstLine="426" w:firstLineChars="177"/>
        <w:rPr>
          <w:rFonts w:ascii="仿宋_GB2312" w:eastAsia="仿宋_GB2312" w:hAnsiTheme="minorEastAsia"/>
          <w:b/>
          <w:color w:val="FF0000"/>
          <w:sz w:val="24"/>
        </w:rPr>
      </w:pPr>
    </w:p>
    <w:p w14:paraId="593FFA7B">
      <w:pPr>
        <w:spacing w:line="440" w:lineRule="exact"/>
        <w:ind w:firstLine="426" w:firstLineChars="177"/>
        <w:rPr>
          <w:rFonts w:ascii="仿宋_GB2312" w:eastAsia="仿宋_GB2312" w:hAnsiTheme="minorEastAsia"/>
          <w:b/>
          <w:color w:val="FF0000"/>
          <w:sz w:val="24"/>
        </w:rPr>
      </w:pPr>
    </w:p>
    <w:p w14:paraId="1C355F3B">
      <w:pPr>
        <w:spacing w:line="440" w:lineRule="exact"/>
        <w:ind w:firstLine="426" w:firstLineChars="177"/>
        <w:rPr>
          <w:rFonts w:ascii="仿宋_GB2312" w:eastAsia="仿宋_GB2312" w:hAnsiTheme="minorEastAsia"/>
          <w:b/>
          <w:color w:val="FF0000"/>
          <w:sz w:val="24"/>
        </w:rPr>
      </w:pPr>
    </w:p>
    <w:p w14:paraId="10CADA59">
      <w:pPr>
        <w:spacing w:line="440" w:lineRule="exact"/>
        <w:ind w:firstLine="426" w:firstLineChars="177"/>
        <w:rPr>
          <w:rFonts w:ascii="仿宋_GB2312" w:eastAsia="仿宋_GB2312" w:hAnsiTheme="minorEastAsia"/>
          <w:b/>
          <w:color w:val="FF0000"/>
          <w:sz w:val="24"/>
        </w:rPr>
      </w:pPr>
    </w:p>
    <w:p w14:paraId="537A6C53">
      <w:pPr>
        <w:spacing w:line="440" w:lineRule="exact"/>
        <w:ind w:firstLine="426" w:firstLineChars="177"/>
        <w:rPr>
          <w:rFonts w:ascii="仿宋_GB2312" w:eastAsia="仿宋_GB2312" w:hAnsiTheme="minorEastAsia"/>
          <w:b/>
          <w:color w:val="FF0000"/>
          <w:sz w:val="24"/>
        </w:rPr>
      </w:pPr>
    </w:p>
    <w:p w14:paraId="3E5CB156">
      <w:pPr>
        <w:spacing w:line="440" w:lineRule="exact"/>
        <w:ind w:firstLine="426" w:firstLineChars="177"/>
        <w:rPr>
          <w:rFonts w:ascii="仿宋_GB2312" w:eastAsia="仿宋_GB2312" w:hAnsiTheme="minorEastAsia"/>
          <w:b/>
          <w:color w:val="FF0000"/>
          <w:sz w:val="24"/>
        </w:rPr>
      </w:pPr>
    </w:p>
    <w:p w14:paraId="657A3BD7">
      <w:pPr>
        <w:spacing w:line="440" w:lineRule="exact"/>
        <w:ind w:firstLine="426" w:firstLineChars="177"/>
        <w:rPr>
          <w:rFonts w:ascii="仿宋_GB2312" w:eastAsia="仿宋_GB2312" w:hAnsiTheme="minorEastAsia"/>
          <w:b/>
          <w:color w:val="FF0000"/>
          <w:sz w:val="24"/>
        </w:rPr>
      </w:pPr>
    </w:p>
    <w:p w14:paraId="4E9032F7">
      <w:pPr>
        <w:spacing w:line="440" w:lineRule="exact"/>
        <w:ind w:firstLine="426" w:firstLineChars="177"/>
        <w:rPr>
          <w:rFonts w:ascii="仿宋_GB2312" w:eastAsia="仿宋_GB2312" w:hAnsiTheme="minorEastAsia"/>
          <w:b/>
          <w:color w:val="FF0000"/>
          <w:sz w:val="24"/>
        </w:rPr>
      </w:pPr>
    </w:p>
    <w:p w14:paraId="392AFDCE">
      <w:pPr>
        <w:spacing w:line="440" w:lineRule="exact"/>
        <w:ind w:firstLine="426" w:firstLineChars="177"/>
        <w:rPr>
          <w:rFonts w:ascii="仿宋_GB2312" w:eastAsia="仿宋_GB2312" w:hAnsiTheme="minorEastAsia"/>
          <w:b/>
          <w:color w:val="FF0000"/>
          <w:sz w:val="24"/>
        </w:rPr>
      </w:pPr>
    </w:p>
    <w:p w14:paraId="71F484EB">
      <w:pPr>
        <w:spacing w:line="440" w:lineRule="exact"/>
        <w:ind w:firstLine="426" w:firstLineChars="177"/>
        <w:rPr>
          <w:rFonts w:ascii="仿宋_GB2312" w:eastAsia="仿宋_GB2312" w:hAnsiTheme="minorEastAsia"/>
          <w:b/>
          <w:color w:val="FF0000"/>
          <w:sz w:val="24"/>
        </w:rPr>
      </w:pPr>
    </w:p>
    <w:p w14:paraId="3A789395">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59</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62</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2025年春节慰问品</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12</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16</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SZZZ2024-QC0502</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2025年春节慰问品</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990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000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0元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990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000</w:t>
      </w:r>
      <w:r>
        <w:rPr>
          <w:rFonts w:hint="eastAsia" w:ascii="宋体" w:hAnsi="宋体" w:eastAsia="宋体"/>
          <w:snapToGrid w:val="0"/>
          <w:color w:val="auto"/>
          <w:sz w:val="21"/>
          <w:szCs w:val="21"/>
        </w:rPr>
        <w:t>.</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0元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2025年春节慰问品</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04CA967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760340F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16</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highlight w:val="yellow"/>
        </w:rPr>
        <w:t>2、地点：深圳市宝安区流塘商务大厦A座7楼D、E、F深圳市中正招标有限公司会议室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17EB03B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名称：深圳市宝安区人民医院</w:t>
      </w:r>
      <w:r>
        <w:rPr>
          <w:rFonts w:hint="eastAsia" w:ascii="宋体" w:hAnsi="宋体" w:eastAsia="宋体"/>
          <w:snapToGrid w:val="0"/>
          <w:color w:val="auto"/>
          <w:sz w:val="21"/>
          <w:szCs w:val="21"/>
          <w:lang w:eastAsia="zh-CN"/>
        </w:rPr>
        <w:t>、深圳市宝安区人民医院工会委员会</w:t>
      </w:r>
    </w:p>
    <w:p w14:paraId="34025C2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地址：深圳市宝安区龙井二路118号</w:t>
      </w:r>
    </w:p>
    <w:p w14:paraId="4C32D842">
      <w:pPr>
        <w:pStyle w:val="453"/>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张先生，0755-27788311转3105</w:t>
      </w:r>
    </w:p>
    <w:p w14:paraId="2C9BB22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梁工</w:t>
      </w:r>
      <w:r>
        <w:rPr>
          <w:rFonts w:hint="eastAsia" w:ascii="宋体" w:hAnsi="宋体" w:eastAsia="宋体"/>
          <w:snapToGrid w:val="0"/>
          <w:color w:val="auto"/>
          <w:sz w:val="21"/>
          <w:szCs w:val="21"/>
        </w:rPr>
        <w:t>，0755-83026699</w:t>
      </w:r>
    </w:p>
    <w:p w14:paraId="355FE78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val="en-US" w:eastAsia="zh-CN"/>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梁工</w:t>
      </w:r>
    </w:p>
    <w:p w14:paraId="3FE4A73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12</w:t>
      </w:r>
      <w:r>
        <w:rPr>
          <w:rFonts w:ascii="宋体" w:hAnsi="宋体"/>
          <w:snapToGrid w:val="0"/>
          <w:kern w:val="0"/>
          <w:sz w:val="24"/>
        </w:rPr>
        <w:t>月</w:t>
      </w:r>
      <w:r>
        <w:rPr>
          <w:rFonts w:hint="eastAsia" w:ascii="宋体" w:hAnsi="宋体"/>
          <w:snapToGrid w:val="0"/>
          <w:kern w:val="0"/>
          <w:sz w:val="24"/>
          <w:lang w:val="en-US" w:eastAsia="zh-CN"/>
        </w:rPr>
        <w:t>3</w:t>
      </w:r>
      <w:r>
        <w:rPr>
          <w:rFonts w:hint="eastAsia" w:ascii="宋体" w:hAnsi="宋体"/>
          <w:snapToGrid w:val="0"/>
          <w:kern w:val="0"/>
          <w:sz w:val="24"/>
        </w:rPr>
        <w:t>日</w:t>
      </w:r>
      <w:bookmarkStart w:id="3" w:name="_Toc135293160"/>
    </w:p>
    <w:p w14:paraId="52233814">
      <w:pPr>
        <w:pStyle w:val="3"/>
      </w:pPr>
    </w:p>
    <w:p w14:paraId="0CDD493B">
      <w:pPr>
        <w:widowControl/>
        <w:jc w:val="left"/>
        <w:rPr>
          <w:rFonts w:eastAsiaTheme="minorEastAsia"/>
          <w:b/>
          <w:kern w:val="44"/>
          <w:sz w:val="44"/>
          <w:szCs w:val="28"/>
        </w:rPr>
      </w:pPr>
      <w:r>
        <w:br w:type="page"/>
      </w:r>
    </w:p>
    <w:p w14:paraId="512A5CFA">
      <w:pPr>
        <w:pStyle w:val="3"/>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7B3E4092">
      <w:pPr>
        <w:numPr>
          <w:ilvl w:val="0"/>
          <w:numId w:val="4"/>
        </w:numPr>
        <w:spacing w:afterLines="25" w:line="360" w:lineRule="auto"/>
        <w:ind w:firstLine="420" w:firstLineChars="200"/>
        <w:jc w:val="left"/>
        <w:rPr>
          <w:rFonts w:ascii="宋体" w:hAnsi="宋体" w:eastAsia="宋体"/>
          <w:szCs w:val="21"/>
          <w:highlight w:val="yellow"/>
        </w:rPr>
      </w:pPr>
      <w:r>
        <w:rPr>
          <w:rFonts w:hint="eastAsia" w:ascii="宋体" w:hAnsi="宋体" w:eastAsia="宋体" w:cs="宋体"/>
          <w:kern w:val="0"/>
          <w:szCs w:val="21"/>
          <w:highlight w:val="yellow"/>
        </w:rPr>
        <w:t>★</w:t>
      </w:r>
      <w:r>
        <w:rPr>
          <w:rFonts w:hint="eastAsia" w:ascii="宋体" w:hAnsi="宋体" w:eastAsia="宋体"/>
          <w:b/>
          <w:szCs w:val="21"/>
          <w:highlight w:val="yellow"/>
        </w:rPr>
        <w:t>项目预算金额或预算金额之下的最高限额：</w:t>
      </w:r>
      <w:r>
        <w:rPr>
          <w:rFonts w:hint="eastAsia" w:ascii="宋体" w:hAnsi="宋体" w:eastAsia="宋体"/>
          <w:szCs w:val="21"/>
          <w:highlight w:val="yellow"/>
        </w:rPr>
        <w:t>支付上限金额为</w:t>
      </w:r>
      <w:r>
        <w:rPr>
          <w:rFonts w:ascii="宋体" w:hAnsi="宋体" w:eastAsia="宋体"/>
          <w:szCs w:val="21"/>
          <w:highlight w:val="yellow"/>
        </w:rPr>
        <w:t xml:space="preserve"> </w:t>
      </w:r>
      <w:r>
        <w:rPr>
          <w:rFonts w:hint="eastAsia" w:ascii="宋体" w:hAnsi="宋体" w:eastAsia="宋体"/>
          <w:szCs w:val="21"/>
          <w:highlight w:val="yellow"/>
        </w:rPr>
        <w:t>9</w:t>
      </w:r>
      <w:r>
        <w:rPr>
          <w:rFonts w:hint="eastAsia" w:ascii="宋体" w:hAnsi="宋体" w:eastAsia="宋体"/>
          <w:szCs w:val="21"/>
          <w:highlight w:val="yellow"/>
          <w:lang w:val="en-US" w:eastAsia="zh-CN"/>
        </w:rPr>
        <w:t>9</w:t>
      </w:r>
      <w:r>
        <w:rPr>
          <w:rFonts w:hint="eastAsia" w:ascii="宋体" w:hAnsi="宋体" w:eastAsia="宋体"/>
          <w:szCs w:val="21"/>
          <w:highlight w:val="yellow"/>
        </w:rPr>
        <w:t>0,0</w:t>
      </w:r>
      <w:r>
        <w:rPr>
          <w:rFonts w:ascii="宋体" w:hAnsi="宋体" w:eastAsia="宋体"/>
          <w:szCs w:val="21"/>
          <w:highlight w:val="yellow"/>
        </w:rPr>
        <w:t>00</w:t>
      </w:r>
      <w:r>
        <w:rPr>
          <w:rFonts w:hint="eastAsia" w:ascii="宋体" w:hAnsi="宋体" w:eastAsia="宋体"/>
          <w:szCs w:val="21"/>
          <w:highlight w:val="yellow"/>
        </w:rPr>
        <w:t>.00元，单价预算3</w:t>
      </w:r>
      <w:r>
        <w:rPr>
          <w:rFonts w:hint="eastAsia" w:ascii="宋体" w:hAnsi="宋体" w:eastAsia="宋体"/>
          <w:szCs w:val="21"/>
          <w:highlight w:val="yellow"/>
          <w:lang w:val="en-US" w:eastAsia="zh-CN"/>
        </w:rPr>
        <w:t>06</w:t>
      </w:r>
      <w:r>
        <w:rPr>
          <w:rFonts w:hint="eastAsia" w:ascii="宋体" w:hAnsi="宋体" w:eastAsia="宋体"/>
          <w:szCs w:val="21"/>
          <w:highlight w:val="yellow"/>
        </w:rPr>
        <w:t>元/人。</w:t>
      </w:r>
    </w:p>
    <w:p w14:paraId="6BEBC7FD">
      <w:pPr>
        <w:numPr>
          <w:ilvl w:val="0"/>
          <w:numId w:val="4"/>
        </w:numPr>
        <w:spacing w:afterLines="25" w:line="360" w:lineRule="auto"/>
        <w:ind w:firstLine="422" w:firstLineChars="200"/>
        <w:jc w:val="left"/>
        <w:rPr>
          <w:rFonts w:ascii="宋体" w:hAnsi="宋体" w:eastAsia="宋体"/>
          <w:b/>
          <w:szCs w:val="21"/>
        </w:rPr>
      </w:pPr>
      <w:r>
        <w:rPr>
          <w:rFonts w:hint="eastAsia" w:ascii="宋体" w:hAnsi="宋体" w:eastAsia="宋体" w:cs="宋体"/>
          <w:b/>
          <w:szCs w:val="21"/>
        </w:rPr>
        <w:t>采购项目的名称及金额</w:t>
      </w:r>
    </w:p>
    <w:tbl>
      <w:tblPr>
        <w:tblStyle w:val="50"/>
        <w:tblW w:w="8907" w:type="dxa"/>
        <w:jc w:val="center"/>
        <w:tblLayout w:type="autofit"/>
        <w:tblCellMar>
          <w:top w:w="0" w:type="dxa"/>
          <w:left w:w="0" w:type="dxa"/>
          <w:bottom w:w="0" w:type="dxa"/>
          <w:right w:w="0" w:type="dxa"/>
        </w:tblCellMar>
      </w:tblPr>
      <w:tblGrid>
        <w:gridCol w:w="715"/>
        <w:gridCol w:w="2064"/>
        <w:gridCol w:w="945"/>
        <w:gridCol w:w="1437"/>
        <w:gridCol w:w="1791"/>
        <w:gridCol w:w="1955"/>
      </w:tblGrid>
      <w:tr w14:paraId="22F41915">
        <w:tblPrEx>
          <w:tblCellMar>
            <w:top w:w="0" w:type="dxa"/>
            <w:left w:w="0" w:type="dxa"/>
            <w:bottom w:w="0" w:type="dxa"/>
            <w:right w:w="0" w:type="dxa"/>
          </w:tblCellMar>
        </w:tblPrEx>
        <w:trPr>
          <w:trHeight w:val="596" w:hRule="atLeast"/>
          <w:jc w:val="center"/>
        </w:trPr>
        <w:tc>
          <w:tcPr>
            <w:tcW w:w="7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7D8C99">
            <w:pPr>
              <w:widowControl/>
              <w:spacing w:afterLines="25" w:line="300" w:lineRule="auto"/>
              <w:jc w:val="center"/>
              <w:rPr>
                <w:rFonts w:ascii="宋体" w:hAnsi="宋体" w:eastAsia="宋体" w:cs="宋体-18030"/>
                <w:b/>
                <w:szCs w:val="21"/>
              </w:rPr>
            </w:pPr>
            <w:r>
              <w:rPr>
                <w:rFonts w:hint="eastAsia" w:ascii="宋体" w:hAnsi="宋体" w:eastAsia="宋体" w:cs="宋体-18030"/>
                <w:b/>
                <w:szCs w:val="21"/>
              </w:rPr>
              <w:t>序号</w:t>
            </w:r>
          </w:p>
        </w:tc>
        <w:tc>
          <w:tcPr>
            <w:tcW w:w="20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0045504">
            <w:pPr>
              <w:widowControl/>
              <w:spacing w:afterLines="25" w:line="300" w:lineRule="auto"/>
              <w:jc w:val="center"/>
              <w:rPr>
                <w:rFonts w:ascii="宋体" w:hAnsi="宋体" w:eastAsia="宋体" w:cs="宋体-18030"/>
                <w:b/>
                <w:szCs w:val="21"/>
              </w:rPr>
            </w:pPr>
            <w:r>
              <w:rPr>
                <w:rFonts w:hint="eastAsia" w:ascii="宋体" w:hAnsi="宋体" w:eastAsia="宋体" w:cs="宋体-18030"/>
                <w:b/>
                <w:szCs w:val="21"/>
              </w:rPr>
              <w:t>项目名称</w:t>
            </w:r>
          </w:p>
        </w:tc>
        <w:tc>
          <w:tcPr>
            <w:tcW w:w="9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7E579A">
            <w:pPr>
              <w:widowControl/>
              <w:spacing w:afterLines="25" w:line="300" w:lineRule="auto"/>
              <w:jc w:val="center"/>
              <w:rPr>
                <w:rFonts w:ascii="宋体" w:hAnsi="宋体" w:eastAsia="宋体" w:cs="宋体-18030"/>
                <w:b/>
                <w:szCs w:val="21"/>
              </w:rPr>
            </w:pPr>
            <w:r>
              <w:rPr>
                <w:rFonts w:hint="eastAsia" w:ascii="宋体" w:hAnsi="宋体" w:eastAsia="宋体" w:cs="宋体-18030"/>
                <w:b/>
                <w:szCs w:val="21"/>
              </w:rPr>
              <w:t>单位</w:t>
            </w:r>
          </w:p>
        </w:tc>
        <w:tc>
          <w:tcPr>
            <w:tcW w:w="1437" w:type="dxa"/>
            <w:tcBorders>
              <w:top w:val="single" w:color="auto" w:sz="8" w:space="0"/>
              <w:left w:val="single" w:color="auto" w:sz="4" w:space="0"/>
              <w:bottom w:val="single" w:color="auto" w:sz="8" w:space="0"/>
              <w:right w:val="nil"/>
            </w:tcBorders>
            <w:vAlign w:val="center"/>
          </w:tcPr>
          <w:p w14:paraId="1EF158E3">
            <w:pPr>
              <w:widowControl/>
              <w:spacing w:afterLines="25" w:line="300" w:lineRule="auto"/>
              <w:jc w:val="center"/>
              <w:rPr>
                <w:rFonts w:hint="eastAsia" w:ascii="宋体" w:hAnsi="宋体" w:eastAsia="宋体" w:cs="宋体-18030"/>
                <w:b/>
                <w:szCs w:val="21"/>
              </w:rPr>
            </w:pPr>
            <w:r>
              <w:rPr>
                <w:rFonts w:hint="eastAsia" w:ascii="宋体" w:hAnsi="宋体" w:eastAsia="宋体" w:cs="宋体-18030"/>
                <w:b/>
                <w:szCs w:val="21"/>
              </w:rPr>
              <w:t>单价预算</w:t>
            </w:r>
          </w:p>
          <w:p w14:paraId="44B9557D">
            <w:pPr>
              <w:widowControl/>
              <w:spacing w:afterLines="25" w:line="300" w:lineRule="auto"/>
              <w:jc w:val="center"/>
              <w:rPr>
                <w:rFonts w:ascii="宋体" w:hAnsi="宋体" w:eastAsia="宋体" w:cs="宋体-18030"/>
                <w:b/>
                <w:szCs w:val="21"/>
              </w:rPr>
            </w:pPr>
            <w:r>
              <w:rPr>
                <w:rFonts w:hint="eastAsia" w:ascii="宋体" w:hAnsi="宋体" w:eastAsia="宋体" w:cs="宋体-18030"/>
                <w:b/>
                <w:szCs w:val="21"/>
              </w:rPr>
              <w:t>（元</w:t>
            </w:r>
            <w:r>
              <w:rPr>
                <w:rFonts w:ascii="宋体" w:hAnsi="宋体" w:eastAsia="宋体" w:cs="宋体-18030"/>
                <w:b/>
                <w:szCs w:val="21"/>
              </w:rPr>
              <w:t>/</w:t>
            </w:r>
            <w:r>
              <w:rPr>
                <w:rFonts w:hint="eastAsia" w:ascii="宋体" w:hAnsi="宋体" w:eastAsia="宋体" w:cs="宋体-18030"/>
                <w:b/>
                <w:szCs w:val="21"/>
              </w:rPr>
              <w:t>人）</w:t>
            </w:r>
          </w:p>
        </w:tc>
        <w:tc>
          <w:tcPr>
            <w:tcW w:w="1791" w:type="dxa"/>
            <w:tcBorders>
              <w:top w:val="single" w:color="auto" w:sz="8" w:space="0"/>
              <w:left w:val="single" w:color="auto" w:sz="4" w:space="0"/>
              <w:bottom w:val="single" w:color="auto" w:sz="8" w:space="0"/>
              <w:right w:val="single" w:color="auto" w:sz="4" w:space="0"/>
            </w:tcBorders>
            <w:vAlign w:val="center"/>
          </w:tcPr>
          <w:p w14:paraId="246AD7D6">
            <w:pPr>
              <w:spacing w:afterLines="25" w:line="300" w:lineRule="auto"/>
              <w:jc w:val="center"/>
              <w:rPr>
                <w:rFonts w:hint="eastAsia" w:ascii="宋体" w:hAnsi="宋体" w:eastAsia="宋体" w:cs="宋体-18030"/>
                <w:b/>
                <w:szCs w:val="21"/>
              </w:rPr>
            </w:pPr>
            <w:r>
              <w:rPr>
                <w:rFonts w:hint="eastAsia" w:ascii="宋体" w:hAnsi="宋体" w:eastAsia="宋体" w:cs="宋体-18030"/>
                <w:b/>
                <w:szCs w:val="21"/>
              </w:rPr>
              <w:t>支付上限</w:t>
            </w:r>
          </w:p>
          <w:p w14:paraId="49AE2797">
            <w:pPr>
              <w:spacing w:afterLines="25" w:line="300" w:lineRule="auto"/>
              <w:jc w:val="center"/>
              <w:rPr>
                <w:rFonts w:ascii="宋体" w:hAnsi="宋体" w:eastAsia="宋体" w:cs="宋体-18030"/>
                <w:b/>
                <w:szCs w:val="21"/>
              </w:rPr>
            </w:pPr>
            <w:r>
              <w:rPr>
                <w:rFonts w:hint="eastAsia" w:ascii="宋体" w:hAnsi="宋体" w:eastAsia="宋体" w:cs="宋体-18030"/>
                <w:b/>
                <w:szCs w:val="21"/>
              </w:rPr>
              <w:t>（</w:t>
            </w:r>
            <w:r>
              <w:rPr>
                <w:rFonts w:hint="eastAsia" w:ascii="宋体" w:hAnsi="宋体" w:cs="宋体-18030"/>
                <w:b/>
                <w:szCs w:val="21"/>
                <w:lang w:val="en-US" w:eastAsia="zh-CN"/>
              </w:rPr>
              <w:t>人民币</w:t>
            </w:r>
            <w:r>
              <w:rPr>
                <w:rFonts w:hint="eastAsia" w:ascii="宋体" w:hAnsi="宋体" w:eastAsia="宋体" w:cs="宋体-18030"/>
                <w:b/>
                <w:szCs w:val="21"/>
              </w:rPr>
              <w:t>元）</w:t>
            </w:r>
          </w:p>
        </w:tc>
        <w:tc>
          <w:tcPr>
            <w:tcW w:w="1955" w:type="dxa"/>
            <w:tcBorders>
              <w:top w:val="single" w:color="auto" w:sz="8" w:space="0"/>
              <w:left w:val="single" w:color="auto" w:sz="4" w:space="0"/>
              <w:bottom w:val="single" w:color="auto" w:sz="8" w:space="0"/>
              <w:right w:val="single" w:color="auto" w:sz="8" w:space="0"/>
            </w:tcBorders>
            <w:vAlign w:val="center"/>
          </w:tcPr>
          <w:p w14:paraId="36B8B6B1">
            <w:pPr>
              <w:spacing w:afterLines="25" w:line="300" w:lineRule="auto"/>
              <w:jc w:val="center"/>
              <w:rPr>
                <w:rFonts w:ascii="宋体" w:hAnsi="宋体" w:eastAsia="宋体" w:cs="宋体-18030"/>
                <w:b/>
                <w:szCs w:val="21"/>
              </w:rPr>
            </w:pPr>
            <w:r>
              <w:rPr>
                <w:rFonts w:hint="eastAsia" w:ascii="宋体" w:hAnsi="宋体" w:eastAsia="宋体" w:cs="宋体-18030"/>
                <w:b/>
                <w:szCs w:val="21"/>
              </w:rPr>
              <w:t>采购部门</w:t>
            </w:r>
          </w:p>
        </w:tc>
      </w:tr>
      <w:tr w14:paraId="11286A88">
        <w:tblPrEx>
          <w:tblCellMar>
            <w:top w:w="0" w:type="dxa"/>
            <w:left w:w="0" w:type="dxa"/>
            <w:bottom w:w="0" w:type="dxa"/>
            <w:right w:w="0" w:type="dxa"/>
          </w:tblCellMar>
        </w:tblPrEx>
        <w:trPr>
          <w:trHeight w:val="633" w:hRule="atLeast"/>
          <w:jc w:val="center"/>
        </w:trPr>
        <w:tc>
          <w:tcPr>
            <w:tcW w:w="715" w:type="dxa"/>
            <w:vMerge w:val="restart"/>
            <w:tcBorders>
              <w:top w:val="nil"/>
              <w:left w:val="single" w:color="auto" w:sz="8" w:space="0"/>
              <w:right w:val="single" w:color="auto" w:sz="8" w:space="0"/>
            </w:tcBorders>
            <w:tcMar>
              <w:top w:w="0" w:type="dxa"/>
              <w:left w:w="108" w:type="dxa"/>
              <w:bottom w:w="0" w:type="dxa"/>
              <w:right w:w="108" w:type="dxa"/>
            </w:tcMar>
            <w:vAlign w:val="center"/>
          </w:tcPr>
          <w:p w14:paraId="6CBA071E">
            <w:pPr>
              <w:widowControl/>
              <w:spacing w:afterLines="25" w:line="300" w:lineRule="auto"/>
              <w:jc w:val="center"/>
              <w:rPr>
                <w:rFonts w:ascii="宋体" w:hAnsi="宋体" w:eastAsia="宋体" w:cs="宋体-18030"/>
                <w:bCs/>
                <w:szCs w:val="21"/>
              </w:rPr>
            </w:pPr>
            <w:r>
              <w:rPr>
                <w:rFonts w:hint="eastAsia" w:ascii="宋体" w:hAnsi="宋体" w:eastAsia="宋体" w:cs="宋体-18030"/>
                <w:bCs/>
                <w:szCs w:val="21"/>
              </w:rPr>
              <w:t>1</w:t>
            </w:r>
          </w:p>
        </w:tc>
        <w:tc>
          <w:tcPr>
            <w:tcW w:w="2064" w:type="dxa"/>
            <w:vMerge w:val="restart"/>
            <w:tcBorders>
              <w:top w:val="nil"/>
              <w:left w:val="nil"/>
              <w:right w:val="single" w:color="auto" w:sz="8" w:space="0"/>
            </w:tcBorders>
            <w:tcMar>
              <w:top w:w="0" w:type="dxa"/>
              <w:left w:w="108" w:type="dxa"/>
              <w:bottom w:w="0" w:type="dxa"/>
              <w:right w:w="108" w:type="dxa"/>
            </w:tcMar>
            <w:vAlign w:val="center"/>
          </w:tcPr>
          <w:p w14:paraId="1AB6F0F8">
            <w:pPr>
              <w:widowControl/>
              <w:spacing w:afterLines="25" w:line="300" w:lineRule="auto"/>
              <w:jc w:val="center"/>
              <w:rPr>
                <w:rFonts w:ascii="宋体" w:hAnsi="宋体" w:eastAsia="宋体" w:cs="宋体-18030"/>
                <w:bCs/>
                <w:szCs w:val="21"/>
              </w:rPr>
            </w:pPr>
            <w:r>
              <w:rPr>
                <w:rFonts w:hint="eastAsia" w:ascii="宋体" w:hAnsi="宋体" w:eastAsia="宋体"/>
                <w:szCs w:val="21"/>
              </w:rPr>
              <w:t>2025</w:t>
            </w:r>
            <w:r>
              <w:rPr>
                <w:rFonts w:hint="eastAsia" w:ascii="宋体" w:hAnsi="宋体" w:eastAsia="宋体" w:cs="宋体"/>
                <w:szCs w:val="21"/>
              </w:rPr>
              <w:t>年</w:t>
            </w:r>
            <w:r>
              <w:rPr>
                <w:rFonts w:hint="eastAsia" w:ascii="宋体" w:hAnsi="宋体" w:eastAsia="宋体" w:cs="宋体"/>
                <w:szCs w:val="21"/>
                <w:lang w:val="en-US" w:eastAsia="zh-CN"/>
              </w:rPr>
              <w:t>春节</w:t>
            </w:r>
            <w:r>
              <w:rPr>
                <w:rFonts w:hint="eastAsia" w:ascii="宋体" w:hAnsi="宋体" w:eastAsia="宋体" w:cs="宋体"/>
                <w:szCs w:val="21"/>
              </w:rPr>
              <w:t>慰问品</w:t>
            </w:r>
          </w:p>
        </w:tc>
        <w:tc>
          <w:tcPr>
            <w:tcW w:w="945" w:type="dxa"/>
            <w:tcBorders>
              <w:top w:val="nil"/>
              <w:left w:val="nil"/>
              <w:bottom w:val="single" w:color="auto" w:sz="4" w:space="0"/>
              <w:right w:val="single" w:color="auto" w:sz="8" w:space="0"/>
            </w:tcBorders>
            <w:tcMar>
              <w:top w:w="0" w:type="dxa"/>
              <w:left w:w="108" w:type="dxa"/>
              <w:bottom w:w="0" w:type="dxa"/>
              <w:right w:w="108" w:type="dxa"/>
            </w:tcMar>
            <w:vAlign w:val="center"/>
          </w:tcPr>
          <w:p w14:paraId="2F5CE447">
            <w:pPr>
              <w:widowControl/>
              <w:spacing w:afterLines="25" w:line="300" w:lineRule="auto"/>
              <w:jc w:val="center"/>
              <w:rPr>
                <w:rFonts w:ascii="宋体" w:hAnsi="宋体" w:eastAsia="宋体" w:cs="宋体-18030"/>
                <w:bCs/>
                <w:szCs w:val="21"/>
              </w:rPr>
            </w:pPr>
            <w:r>
              <w:rPr>
                <w:rFonts w:hint="eastAsia" w:ascii="宋体" w:hAnsi="宋体" w:eastAsia="宋体" w:cs="宋体-18030"/>
                <w:bCs/>
                <w:szCs w:val="21"/>
              </w:rPr>
              <w:t>份</w:t>
            </w:r>
          </w:p>
        </w:tc>
        <w:tc>
          <w:tcPr>
            <w:tcW w:w="1437" w:type="dxa"/>
            <w:tcBorders>
              <w:top w:val="nil"/>
              <w:left w:val="single" w:color="auto" w:sz="4" w:space="0"/>
              <w:bottom w:val="single" w:color="auto" w:sz="4" w:space="0"/>
              <w:right w:val="nil"/>
            </w:tcBorders>
            <w:vAlign w:val="center"/>
          </w:tcPr>
          <w:p w14:paraId="560D1190">
            <w:pPr>
              <w:widowControl/>
              <w:spacing w:afterLines="25" w:line="300" w:lineRule="auto"/>
              <w:ind w:firstLine="105" w:firstLineChars="50"/>
              <w:jc w:val="center"/>
              <w:rPr>
                <w:rFonts w:hint="default" w:ascii="宋体" w:hAnsi="宋体" w:eastAsia="宋体" w:cs="宋体-18030"/>
                <w:bCs/>
                <w:szCs w:val="21"/>
                <w:lang w:val="en-US" w:eastAsia="zh-CN"/>
              </w:rPr>
            </w:pPr>
            <w:r>
              <w:rPr>
                <w:rFonts w:hint="eastAsia" w:ascii="宋体" w:hAnsi="宋体" w:eastAsia="宋体" w:cs="宋体-18030"/>
                <w:bCs/>
                <w:szCs w:val="21"/>
              </w:rPr>
              <w:t>3</w:t>
            </w:r>
            <w:r>
              <w:rPr>
                <w:rFonts w:hint="eastAsia" w:ascii="宋体" w:hAnsi="宋体" w:eastAsia="宋体" w:cs="宋体-18030"/>
                <w:bCs/>
                <w:szCs w:val="21"/>
                <w:lang w:val="en-US" w:eastAsia="zh-CN"/>
              </w:rPr>
              <w:t>06</w:t>
            </w:r>
          </w:p>
        </w:tc>
        <w:tc>
          <w:tcPr>
            <w:tcW w:w="1791" w:type="dxa"/>
            <w:tcBorders>
              <w:top w:val="nil"/>
              <w:left w:val="single" w:color="auto" w:sz="4" w:space="0"/>
              <w:bottom w:val="single" w:color="auto" w:sz="4" w:space="0"/>
              <w:right w:val="single" w:color="auto" w:sz="4" w:space="0"/>
            </w:tcBorders>
            <w:vAlign w:val="center"/>
          </w:tcPr>
          <w:p w14:paraId="30F4EA65">
            <w:pPr>
              <w:spacing w:afterLines="25" w:line="300" w:lineRule="auto"/>
              <w:jc w:val="center"/>
              <w:rPr>
                <w:rFonts w:ascii="宋体" w:hAnsi="宋体" w:eastAsia="宋体" w:cs="宋体-18030"/>
                <w:bCs/>
                <w:szCs w:val="21"/>
              </w:rPr>
            </w:pPr>
            <w:r>
              <w:rPr>
                <w:rFonts w:hint="eastAsia" w:ascii="宋体" w:hAnsi="宋体" w:eastAsia="宋体" w:cs="宋体-18030"/>
                <w:bCs/>
                <w:szCs w:val="21"/>
                <w:lang w:val="en-US" w:eastAsia="zh-CN"/>
              </w:rPr>
              <w:t>202,500.00</w:t>
            </w:r>
          </w:p>
        </w:tc>
        <w:tc>
          <w:tcPr>
            <w:tcW w:w="1955" w:type="dxa"/>
            <w:tcBorders>
              <w:top w:val="nil"/>
              <w:left w:val="single" w:color="auto" w:sz="4" w:space="0"/>
              <w:bottom w:val="single" w:color="auto" w:sz="4" w:space="0"/>
              <w:right w:val="single" w:color="auto" w:sz="8" w:space="0"/>
            </w:tcBorders>
            <w:vAlign w:val="center"/>
          </w:tcPr>
          <w:p w14:paraId="577561BC">
            <w:pPr>
              <w:spacing w:afterLines="25" w:line="300" w:lineRule="auto"/>
              <w:jc w:val="center"/>
              <w:rPr>
                <w:rFonts w:ascii="宋体" w:hAnsi="宋体" w:eastAsia="宋体"/>
                <w:szCs w:val="21"/>
              </w:rPr>
            </w:pPr>
            <w:r>
              <w:rPr>
                <w:rFonts w:hint="eastAsia" w:ascii="宋体" w:hAnsi="宋体" w:eastAsia="宋体"/>
                <w:szCs w:val="21"/>
                <w:lang w:val="en-US" w:eastAsia="zh-CN"/>
              </w:rPr>
              <w:t>深圳市宝安区人民医院</w:t>
            </w:r>
          </w:p>
        </w:tc>
      </w:tr>
      <w:tr w14:paraId="2D3CF610">
        <w:tblPrEx>
          <w:tblCellMar>
            <w:top w:w="0" w:type="dxa"/>
            <w:left w:w="0" w:type="dxa"/>
            <w:bottom w:w="0" w:type="dxa"/>
            <w:right w:w="0" w:type="dxa"/>
          </w:tblCellMar>
        </w:tblPrEx>
        <w:trPr>
          <w:trHeight w:val="633" w:hRule="atLeast"/>
          <w:jc w:val="center"/>
        </w:trPr>
        <w:tc>
          <w:tcPr>
            <w:tcW w:w="715"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14:paraId="46AD85F0">
            <w:pPr>
              <w:widowControl/>
              <w:spacing w:afterLines="25" w:line="300" w:lineRule="auto"/>
              <w:jc w:val="center"/>
              <w:rPr>
                <w:rFonts w:hint="eastAsia" w:ascii="宋体" w:hAnsi="宋体" w:eastAsia="宋体" w:cs="宋体-18030"/>
                <w:bCs/>
                <w:szCs w:val="21"/>
                <w:lang w:val="en-US" w:eastAsia="zh-CN"/>
              </w:rPr>
            </w:pPr>
          </w:p>
        </w:tc>
        <w:tc>
          <w:tcPr>
            <w:tcW w:w="2064"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49425513">
            <w:pPr>
              <w:widowControl/>
              <w:spacing w:afterLines="25" w:line="300" w:lineRule="auto"/>
              <w:jc w:val="center"/>
              <w:rPr>
                <w:rFonts w:hint="eastAsia" w:ascii="宋体" w:hAnsi="宋体" w:eastAsia="宋体" w:cs="宋体"/>
                <w:szCs w:val="21"/>
              </w:rPr>
            </w:pPr>
          </w:p>
        </w:tc>
        <w:tc>
          <w:tcPr>
            <w:tcW w:w="945"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EFF786">
            <w:pPr>
              <w:widowControl/>
              <w:spacing w:afterLines="25" w:line="300" w:lineRule="auto"/>
              <w:jc w:val="center"/>
              <w:rPr>
                <w:rFonts w:hint="eastAsia" w:ascii="宋体" w:hAnsi="宋体" w:eastAsia="宋体" w:cs="宋体-18030"/>
                <w:bCs/>
                <w:kern w:val="2"/>
                <w:sz w:val="21"/>
                <w:szCs w:val="21"/>
                <w:lang w:val="en-US" w:eastAsia="zh-CN" w:bidi="ar-SA"/>
              </w:rPr>
            </w:pPr>
            <w:r>
              <w:rPr>
                <w:rFonts w:hint="eastAsia" w:ascii="宋体" w:hAnsi="宋体" w:eastAsia="宋体" w:cs="宋体-18030"/>
                <w:bCs/>
                <w:szCs w:val="21"/>
              </w:rPr>
              <w:t>份</w:t>
            </w:r>
          </w:p>
        </w:tc>
        <w:tc>
          <w:tcPr>
            <w:tcW w:w="1437" w:type="dxa"/>
            <w:tcBorders>
              <w:top w:val="single" w:color="auto" w:sz="4" w:space="0"/>
              <w:left w:val="single" w:color="auto" w:sz="4" w:space="0"/>
              <w:bottom w:val="single" w:color="auto" w:sz="8" w:space="0"/>
              <w:right w:val="nil"/>
            </w:tcBorders>
            <w:vAlign w:val="center"/>
          </w:tcPr>
          <w:p w14:paraId="283B9550">
            <w:pPr>
              <w:widowControl/>
              <w:spacing w:afterLines="25" w:line="300" w:lineRule="auto"/>
              <w:ind w:firstLine="105" w:firstLineChars="50"/>
              <w:jc w:val="center"/>
              <w:rPr>
                <w:rFonts w:hint="default" w:ascii="宋体" w:hAnsi="宋体" w:eastAsia="宋体" w:cs="宋体-18030"/>
                <w:bCs/>
                <w:szCs w:val="21"/>
                <w:lang w:val="en-US" w:eastAsia="zh-CN"/>
              </w:rPr>
            </w:pPr>
            <w:r>
              <w:rPr>
                <w:rFonts w:hint="eastAsia" w:ascii="宋体" w:hAnsi="宋体" w:eastAsia="宋体" w:cs="宋体-18030"/>
                <w:bCs/>
                <w:szCs w:val="21"/>
                <w:lang w:val="en-US" w:eastAsia="zh-CN"/>
              </w:rPr>
              <w:t>306</w:t>
            </w:r>
          </w:p>
        </w:tc>
        <w:tc>
          <w:tcPr>
            <w:tcW w:w="1791" w:type="dxa"/>
            <w:tcBorders>
              <w:top w:val="single" w:color="auto" w:sz="4" w:space="0"/>
              <w:left w:val="single" w:color="auto" w:sz="4" w:space="0"/>
              <w:bottom w:val="single" w:color="auto" w:sz="8" w:space="0"/>
              <w:right w:val="single" w:color="auto" w:sz="4" w:space="0"/>
            </w:tcBorders>
            <w:vAlign w:val="center"/>
          </w:tcPr>
          <w:p w14:paraId="7863CD1E">
            <w:pPr>
              <w:spacing w:afterLines="25" w:line="300" w:lineRule="auto"/>
              <w:jc w:val="center"/>
              <w:rPr>
                <w:rFonts w:hint="default" w:ascii="宋体" w:hAnsi="宋体" w:eastAsia="宋体" w:cs="宋体-18030"/>
                <w:bCs/>
                <w:szCs w:val="21"/>
                <w:lang w:val="en-US" w:eastAsia="zh-CN"/>
              </w:rPr>
            </w:pPr>
            <w:r>
              <w:rPr>
                <w:rFonts w:hint="eastAsia" w:ascii="宋体" w:hAnsi="宋体" w:eastAsia="宋体" w:cs="宋体-18030"/>
                <w:bCs/>
                <w:szCs w:val="21"/>
                <w:lang w:val="en-US" w:eastAsia="zh-CN"/>
              </w:rPr>
              <w:t>787,5</w:t>
            </w:r>
            <w:r>
              <w:rPr>
                <w:rFonts w:hint="eastAsia" w:ascii="宋体" w:hAnsi="宋体" w:eastAsia="宋体" w:cs="宋体-18030"/>
                <w:bCs/>
                <w:szCs w:val="21"/>
              </w:rPr>
              <w:t>00.00</w:t>
            </w:r>
          </w:p>
        </w:tc>
        <w:tc>
          <w:tcPr>
            <w:tcW w:w="1955" w:type="dxa"/>
            <w:tcBorders>
              <w:top w:val="single" w:color="auto" w:sz="4" w:space="0"/>
              <w:left w:val="single" w:color="auto" w:sz="4" w:space="0"/>
              <w:bottom w:val="single" w:color="auto" w:sz="8" w:space="0"/>
              <w:right w:val="single" w:color="auto" w:sz="8" w:space="0"/>
            </w:tcBorders>
            <w:vAlign w:val="center"/>
          </w:tcPr>
          <w:p w14:paraId="43BC10FF">
            <w:pPr>
              <w:spacing w:afterLines="25" w:line="300" w:lineRule="auto"/>
              <w:jc w:val="center"/>
              <w:rPr>
                <w:rFonts w:hint="eastAsia" w:ascii="宋体" w:hAnsi="宋体" w:eastAsia="宋体"/>
                <w:szCs w:val="21"/>
                <w:lang w:val="en-US" w:eastAsia="zh-CN"/>
              </w:rPr>
            </w:pPr>
            <w:r>
              <w:rPr>
                <w:rFonts w:hint="eastAsia" w:ascii="宋体" w:hAnsi="宋体" w:eastAsia="宋体"/>
                <w:szCs w:val="21"/>
              </w:rPr>
              <w:t>深圳市宝安区人民医院工会委员会</w:t>
            </w:r>
          </w:p>
        </w:tc>
      </w:tr>
    </w:tbl>
    <w:p w14:paraId="4283B415">
      <w:pPr>
        <w:keepNext w:val="0"/>
        <w:keepLines w:val="0"/>
        <w:pageBreakBefore w:val="0"/>
        <w:widowControl w:val="0"/>
        <w:numPr>
          <w:ilvl w:val="0"/>
          <w:numId w:val="4"/>
        </w:numPr>
        <w:kinsoku/>
        <w:wordWrap/>
        <w:overflowPunct/>
        <w:topLinePunct w:val="0"/>
        <w:autoSpaceDE/>
        <w:autoSpaceDN/>
        <w:bidi w:val="0"/>
        <w:adjustRightInd/>
        <w:snapToGrid/>
        <w:spacing w:afterLines="25" w:line="360" w:lineRule="auto"/>
        <w:ind w:firstLine="422" w:firstLineChars="200"/>
        <w:jc w:val="left"/>
        <w:textAlignment w:val="auto"/>
        <w:rPr>
          <w:rFonts w:ascii="宋体" w:hAnsi="宋体" w:eastAsia="宋体" w:cs="宋体"/>
          <w:b/>
          <w:szCs w:val="21"/>
        </w:rPr>
      </w:pPr>
      <w:r>
        <w:rPr>
          <w:rFonts w:hint="eastAsia" w:ascii="宋体" w:hAnsi="宋体" w:eastAsia="宋体" w:cs="宋体"/>
          <w:b/>
          <w:szCs w:val="21"/>
        </w:rPr>
        <w:t>清单</w:t>
      </w:r>
    </w:p>
    <w:tbl>
      <w:tblPr>
        <w:tblStyle w:val="50"/>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8"/>
        <w:gridCol w:w="3094"/>
        <w:gridCol w:w="1680"/>
        <w:gridCol w:w="3261"/>
      </w:tblGrid>
      <w:tr w14:paraId="1C521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28C2FA63">
            <w:pPr>
              <w:spacing w:afterLines="25" w:line="360" w:lineRule="auto"/>
              <w:jc w:val="center"/>
              <w:rPr>
                <w:rFonts w:ascii="宋体" w:hAnsi="宋体" w:eastAsia="宋体"/>
                <w:b/>
                <w:kern w:val="0"/>
              </w:rPr>
            </w:pPr>
            <w:r>
              <w:rPr>
                <w:rFonts w:ascii="宋体" w:hAnsi="宋体" w:eastAsia="宋体"/>
                <w:b/>
                <w:kern w:val="0"/>
              </w:rPr>
              <w:t>序号</w:t>
            </w:r>
          </w:p>
        </w:tc>
        <w:tc>
          <w:tcPr>
            <w:tcW w:w="3094" w:type="dxa"/>
            <w:tcBorders>
              <w:top w:val="single" w:color="000000" w:sz="4" w:space="0"/>
              <w:left w:val="single" w:color="000000" w:sz="4" w:space="0"/>
              <w:bottom w:val="single" w:color="000000" w:sz="4" w:space="0"/>
              <w:right w:val="single" w:color="000000" w:sz="4" w:space="0"/>
            </w:tcBorders>
            <w:vAlign w:val="center"/>
          </w:tcPr>
          <w:p w14:paraId="53F211E0">
            <w:pPr>
              <w:spacing w:afterLines="25" w:line="360" w:lineRule="auto"/>
              <w:jc w:val="center"/>
              <w:rPr>
                <w:rFonts w:ascii="宋体" w:hAnsi="宋体" w:eastAsia="宋体"/>
                <w:b/>
                <w:kern w:val="0"/>
              </w:rPr>
            </w:pPr>
            <w:r>
              <w:rPr>
                <w:rFonts w:ascii="宋体" w:hAnsi="宋体" w:eastAsia="宋体"/>
                <w:b/>
                <w:kern w:val="0"/>
              </w:rPr>
              <w:t>货物名称</w:t>
            </w:r>
          </w:p>
        </w:tc>
        <w:tc>
          <w:tcPr>
            <w:tcW w:w="1680" w:type="dxa"/>
            <w:tcBorders>
              <w:top w:val="single" w:color="000000" w:sz="4" w:space="0"/>
              <w:left w:val="single" w:color="000000" w:sz="4" w:space="0"/>
              <w:bottom w:val="single" w:color="000000" w:sz="4" w:space="0"/>
              <w:right w:val="single" w:color="000000" w:sz="4" w:space="0"/>
            </w:tcBorders>
            <w:vAlign w:val="center"/>
          </w:tcPr>
          <w:p w14:paraId="77F857C1">
            <w:pPr>
              <w:spacing w:afterLines="25" w:line="360" w:lineRule="auto"/>
              <w:jc w:val="center"/>
              <w:rPr>
                <w:rFonts w:ascii="宋体" w:hAnsi="宋体" w:eastAsia="宋体"/>
                <w:b/>
                <w:kern w:val="0"/>
              </w:rPr>
            </w:pPr>
            <w:r>
              <w:rPr>
                <w:rFonts w:ascii="宋体" w:hAnsi="宋体" w:eastAsia="宋体"/>
                <w:b/>
                <w:kern w:val="0"/>
              </w:rPr>
              <w:t>规格</w:t>
            </w:r>
          </w:p>
        </w:tc>
        <w:tc>
          <w:tcPr>
            <w:tcW w:w="3261" w:type="dxa"/>
            <w:tcBorders>
              <w:top w:val="single" w:color="000000" w:sz="4" w:space="0"/>
              <w:left w:val="single" w:color="000000" w:sz="4" w:space="0"/>
              <w:bottom w:val="single" w:color="000000" w:sz="4" w:space="0"/>
              <w:right w:val="single" w:color="000000" w:sz="4" w:space="0"/>
            </w:tcBorders>
            <w:vAlign w:val="center"/>
          </w:tcPr>
          <w:p w14:paraId="369FC82C">
            <w:pPr>
              <w:spacing w:afterLines="25" w:line="360" w:lineRule="auto"/>
              <w:jc w:val="center"/>
              <w:rPr>
                <w:rFonts w:ascii="宋体" w:hAnsi="宋体" w:eastAsia="宋体"/>
                <w:b/>
                <w:kern w:val="0"/>
              </w:rPr>
            </w:pPr>
            <w:r>
              <w:rPr>
                <w:rFonts w:ascii="宋体" w:hAnsi="宋体" w:eastAsia="宋体"/>
                <w:b/>
                <w:kern w:val="0"/>
              </w:rPr>
              <w:t>备注</w:t>
            </w:r>
          </w:p>
        </w:tc>
      </w:tr>
      <w:tr w14:paraId="65D1A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14:paraId="508AAEF1">
            <w:pPr>
              <w:spacing w:afterLines="25" w:line="360" w:lineRule="auto"/>
              <w:jc w:val="center"/>
              <w:rPr>
                <w:rFonts w:ascii="宋体" w:hAnsi="宋体" w:eastAsia="宋体" w:cs="宋体"/>
                <w:bCs/>
                <w:kern w:val="0"/>
              </w:rPr>
            </w:pPr>
            <w:r>
              <w:rPr>
                <w:rFonts w:ascii="宋体" w:hAnsi="宋体" w:eastAsia="宋体" w:cs="宋体"/>
                <w:bCs/>
                <w:kern w:val="0"/>
              </w:rPr>
              <w:t>1</w:t>
            </w:r>
          </w:p>
        </w:tc>
        <w:tc>
          <w:tcPr>
            <w:tcW w:w="3094" w:type="dxa"/>
            <w:tcBorders>
              <w:top w:val="single" w:color="000000" w:sz="4" w:space="0"/>
              <w:left w:val="single" w:color="000000" w:sz="4" w:space="0"/>
              <w:bottom w:val="single" w:color="000000" w:sz="4" w:space="0"/>
              <w:right w:val="single" w:color="000000" w:sz="4" w:space="0"/>
            </w:tcBorders>
            <w:vAlign w:val="center"/>
          </w:tcPr>
          <w:p w14:paraId="1FD8B340">
            <w:pPr>
              <w:spacing w:afterLines="25" w:line="360" w:lineRule="auto"/>
              <w:jc w:val="center"/>
              <w:rPr>
                <w:rFonts w:ascii="宋体" w:hAnsi="宋体" w:eastAsia="宋体" w:cs="宋体"/>
                <w:bCs/>
              </w:rPr>
            </w:pPr>
            <w:r>
              <w:rPr>
                <w:rFonts w:hint="eastAsia" w:ascii="宋体" w:hAnsi="宋体" w:eastAsia="宋体"/>
                <w:szCs w:val="21"/>
              </w:rPr>
              <w:t>2025</w:t>
            </w:r>
            <w:r>
              <w:rPr>
                <w:rFonts w:hint="eastAsia" w:ascii="宋体" w:hAnsi="宋体" w:eastAsia="宋体" w:cs="宋体"/>
                <w:szCs w:val="21"/>
              </w:rPr>
              <w:t>年</w:t>
            </w:r>
            <w:r>
              <w:rPr>
                <w:rFonts w:hint="eastAsia" w:ascii="宋体" w:hAnsi="宋体" w:eastAsia="宋体" w:cs="宋体"/>
                <w:szCs w:val="21"/>
                <w:lang w:val="en-US" w:eastAsia="zh-CN"/>
              </w:rPr>
              <w:t>春节</w:t>
            </w:r>
            <w:r>
              <w:rPr>
                <w:rFonts w:hint="eastAsia" w:ascii="宋体" w:hAnsi="宋体" w:eastAsia="宋体" w:cs="宋体"/>
                <w:szCs w:val="21"/>
              </w:rPr>
              <w:t>慰问品</w:t>
            </w:r>
          </w:p>
        </w:tc>
        <w:tc>
          <w:tcPr>
            <w:tcW w:w="1680" w:type="dxa"/>
            <w:tcBorders>
              <w:top w:val="single" w:color="000000" w:sz="4" w:space="0"/>
              <w:left w:val="single" w:color="000000" w:sz="4" w:space="0"/>
              <w:bottom w:val="single" w:color="000000" w:sz="4" w:space="0"/>
              <w:right w:val="single" w:color="000000" w:sz="4" w:space="0"/>
            </w:tcBorders>
            <w:vAlign w:val="center"/>
          </w:tcPr>
          <w:p w14:paraId="6EB3A8CA">
            <w:pPr>
              <w:spacing w:afterLines="25" w:line="360" w:lineRule="auto"/>
              <w:jc w:val="center"/>
              <w:rPr>
                <w:rFonts w:ascii="宋体" w:hAnsi="宋体" w:eastAsia="宋体" w:cs="宋体"/>
                <w:bCs/>
                <w:kern w:val="0"/>
              </w:rPr>
            </w:pPr>
            <w:r>
              <w:rPr>
                <w:rFonts w:hint="eastAsia" w:ascii="宋体" w:hAnsi="宋体" w:eastAsia="宋体" w:cs="宋体-18030"/>
                <w:bCs/>
                <w:szCs w:val="21"/>
              </w:rPr>
              <w:t>3</w:t>
            </w:r>
            <w:r>
              <w:rPr>
                <w:rFonts w:hint="eastAsia" w:ascii="宋体" w:hAnsi="宋体" w:eastAsia="宋体" w:cs="宋体-18030"/>
                <w:bCs/>
                <w:szCs w:val="21"/>
                <w:lang w:val="en-US" w:eastAsia="zh-CN"/>
              </w:rPr>
              <w:t>06</w:t>
            </w:r>
            <w:r>
              <w:rPr>
                <w:rFonts w:hint="eastAsia" w:ascii="宋体" w:hAnsi="宋体" w:eastAsia="宋体" w:cs="宋体-18030"/>
                <w:bCs/>
                <w:szCs w:val="21"/>
              </w:rPr>
              <w:t>元</w:t>
            </w:r>
            <w:r>
              <w:rPr>
                <w:rFonts w:ascii="宋体" w:hAnsi="宋体" w:eastAsia="宋体" w:cs="宋体-18030"/>
                <w:bCs/>
                <w:szCs w:val="21"/>
              </w:rPr>
              <w:t>/</w:t>
            </w:r>
            <w:r>
              <w:rPr>
                <w:rFonts w:hint="eastAsia" w:ascii="宋体" w:hAnsi="宋体" w:eastAsia="宋体" w:cs="宋体-18030"/>
                <w:bCs/>
                <w:szCs w:val="21"/>
              </w:rPr>
              <w:t>人</w:t>
            </w:r>
          </w:p>
        </w:tc>
        <w:tc>
          <w:tcPr>
            <w:tcW w:w="3261" w:type="dxa"/>
            <w:tcBorders>
              <w:top w:val="single" w:color="000000" w:sz="4" w:space="0"/>
              <w:left w:val="single" w:color="000000" w:sz="4" w:space="0"/>
              <w:bottom w:val="single" w:color="000000" w:sz="4" w:space="0"/>
              <w:right w:val="single" w:color="000000" w:sz="4" w:space="0"/>
            </w:tcBorders>
            <w:vAlign w:val="center"/>
          </w:tcPr>
          <w:p w14:paraId="456A7A40">
            <w:pPr>
              <w:spacing w:afterLines="25" w:line="360" w:lineRule="auto"/>
              <w:jc w:val="center"/>
              <w:rPr>
                <w:rFonts w:ascii="宋体" w:hAnsi="宋体" w:eastAsia="宋体" w:cs="宋体"/>
                <w:bCs/>
                <w:kern w:val="0"/>
              </w:rPr>
            </w:pPr>
            <w:r>
              <w:rPr>
                <w:rFonts w:ascii="宋体" w:hAnsi="宋体" w:eastAsia="宋体" w:cs="宋体"/>
                <w:bCs/>
                <w:kern w:val="0"/>
              </w:rPr>
              <w:t>结算时以实际</w:t>
            </w:r>
            <w:r>
              <w:rPr>
                <w:rFonts w:hint="eastAsia" w:ascii="宋体" w:hAnsi="宋体" w:eastAsia="宋体" w:cs="宋体"/>
                <w:bCs/>
                <w:kern w:val="0"/>
              </w:rPr>
              <w:t>已选套餐</w:t>
            </w:r>
            <w:r>
              <w:rPr>
                <w:rFonts w:ascii="宋体" w:hAnsi="宋体" w:eastAsia="宋体" w:cs="宋体"/>
                <w:bCs/>
                <w:kern w:val="0"/>
              </w:rPr>
              <w:t>人数为准</w:t>
            </w:r>
          </w:p>
        </w:tc>
      </w:tr>
    </w:tbl>
    <w:p w14:paraId="7829AF9A">
      <w:pPr>
        <w:spacing w:afterLines="25" w:line="360" w:lineRule="auto"/>
        <w:jc w:val="left"/>
        <w:rPr>
          <w:rFonts w:hint="eastAsia"/>
          <w:b/>
          <w:sz w:val="24"/>
          <w:szCs w:val="24"/>
          <w:lang w:val="en-US" w:eastAsia="zh-CN"/>
        </w:rPr>
      </w:pPr>
    </w:p>
    <w:p w14:paraId="57F38327">
      <w:pPr>
        <w:spacing w:afterLines="25" w:line="360" w:lineRule="auto"/>
        <w:jc w:val="left"/>
        <w:rPr>
          <w:rFonts w:ascii="宋体" w:hAnsi="宋体" w:eastAsia="宋体"/>
          <w:sz w:val="24"/>
          <w:szCs w:val="24"/>
        </w:rPr>
      </w:pPr>
      <w:r>
        <w:rPr>
          <w:rFonts w:hint="eastAsia"/>
          <w:b/>
          <w:sz w:val="24"/>
          <w:szCs w:val="24"/>
          <w:lang w:val="en-US" w:eastAsia="zh-CN"/>
        </w:rPr>
        <w:t>二</w:t>
      </w:r>
      <w:r>
        <w:rPr>
          <w:rFonts w:hint="eastAsia"/>
          <w:b/>
          <w:sz w:val="24"/>
          <w:szCs w:val="24"/>
        </w:rPr>
        <w:t>、</w:t>
      </w:r>
      <w:r>
        <w:rPr>
          <w:rFonts w:hint="eastAsia" w:ascii="宋体" w:hAnsi="宋体" w:eastAsia="宋体"/>
          <w:b/>
          <w:bCs/>
          <w:sz w:val="24"/>
          <w:szCs w:val="24"/>
        </w:rPr>
        <w:t>项目管理和服务要求</w:t>
      </w:r>
    </w:p>
    <w:p w14:paraId="56A14DFB">
      <w:pPr>
        <w:numPr>
          <w:ilvl w:val="0"/>
          <w:numId w:val="5"/>
        </w:numPr>
        <w:spacing w:afterLines="25" w:line="360" w:lineRule="auto"/>
        <w:ind w:firstLine="422" w:firstLineChars="200"/>
        <w:jc w:val="left"/>
        <w:rPr>
          <w:rFonts w:ascii="宋体" w:hAnsi="宋体" w:eastAsia="宋体"/>
          <w:b/>
          <w:szCs w:val="21"/>
        </w:rPr>
      </w:pPr>
      <w:r>
        <w:rPr>
          <w:rFonts w:hint="eastAsia" w:ascii="宋体" w:hAnsi="宋体" w:eastAsia="宋体" w:cs="FangSong_GB2312"/>
          <w:b/>
          <w:szCs w:val="21"/>
        </w:rPr>
        <w:t>项目概况</w:t>
      </w:r>
      <w:r>
        <w:rPr>
          <w:rFonts w:hint="eastAsia" w:ascii="宋体" w:hAnsi="宋体" w:eastAsia="宋体"/>
          <w:b/>
          <w:szCs w:val="21"/>
        </w:rPr>
        <w:t>：</w:t>
      </w:r>
      <w:r>
        <w:rPr>
          <w:rFonts w:hint="eastAsia" w:ascii="宋体" w:hAnsi="宋体" w:eastAsia="宋体" w:cs="宋体"/>
          <w:szCs w:val="21"/>
        </w:rPr>
        <w:t>本次招标为深圳市宝安区人民医院</w:t>
      </w:r>
      <w:r>
        <w:rPr>
          <w:rFonts w:hint="eastAsia" w:ascii="宋体" w:hAnsi="宋体" w:cs="宋体"/>
          <w:szCs w:val="21"/>
          <w:lang w:val="en-US" w:eastAsia="zh-CN"/>
        </w:rPr>
        <w:t>及其</w:t>
      </w:r>
      <w:r>
        <w:rPr>
          <w:rFonts w:hint="eastAsia" w:ascii="宋体" w:hAnsi="宋体" w:eastAsia="宋体" w:cs="宋体"/>
          <w:szCs w:val="21"/>
        </w:rPr>
        <w:t>工会委员会2025年</w:t>
      </w:r>
      <w:r>
        <w:rPr>
          <w:rFonts w:hint="eastAsia" w:ascii="宋体" w:hAnsi="宋体" w:eastAsia="宋体" w:cs="宋体"/>
          <w:szCs w:val="21"/>
          <w:lang w:val="en-US" w:eastAsia="zh-CN"/>
        </w:rPr>
        <w:t>春节</w:t>
      </w:r>
      <w:r>
        <w:rPr>
          <w:rFonts w:hint="eastAsia" w:ascii="宋体" w:hAnsi="宋体" w:eastAsia="宋体" w:cs="宋体"/>
          <w:szCs w:val="21"/>
        </w:rPr>
        <w:t>慰问品采购。投标人需保证所提供的产品均符合广东省总工会2018年1月28日（粤工总【2018】5号）下发的《广东省基层工会经费收支管理实施细则（试行）》文件中规定的：节日慰问品原则上为符合中国传统节日习惯的用品和职工群众必须的生活用品等，如：普通粽子、普通月饼、米、面、油、肉、蛋、奶、水果、干果等。标准为</w:t>
      </w:r>
      <w:r>
        <w:rPr>
          <w:rFonts w:hint="eastAsia" w:ascii="宋体" w:hAnsi="宋体" w:cs="宋体"/>
          <w:szCs w:val="21"/>
          <w:lang w:val="en-US" w:eastAsia="zh-CN"/>
        </w:rPr>
        <w:t>不低于</w:t>
      </w:r>
      <w:r>
        <w:rPr>
          <w:rFonts w:hint="eastAsia" w:ascii="宋体" w:hAnsi="宋体" w:eastAsia="宋体" w:cs="宋体"/>
          <w:szCs w:val="21"/>
        </w:rPr>
        <w:t>3</w:t>
      </w:r>
      <w:r>
        <w:rPr>
          <w:rFonts w:hint="eastAsia" w:ascii="宋体" w:hAnsi="宋体" w:eastAsia="宋体" w:cs="宋体"/>
          <w:szCs w:val="21"/>
          <w:lang w:val="en-US" w:eastAsia="zh-CN"/>
        </w:rPr>
        <w:t>06</w:t>
      </w:r>
      <w:r>
        <w:rPr>
          <w:rFonts w:hint="eastAsia" w:ascii="宋体" w:hAnsi="宋体" w:eastAsia="宋体" w:cs="宋体"/>
          <w:szCs w:val="21"/>
        </w:rPr>
        <w:t>元/人，可做指定品类提货券，充券到APP上使用，可购买会员价、促销价及参与活动的商品，可线上下单购买。</w:t>
      </w:r>
    </w:p>
    <w:p w14:paraId="27DCB986">
      <w:pPr>
        <w:numPr>
          <w:ilvl w:val="0"/>
          <w:numId w:val="5"/>
        </w:numPr>
        <w:spacing w:afterLines="25" w:line="360" w:lineRule="auto"/>
        <w:ind w:firstLine="420" w:firstLineChars="200"/>
        <w:jc w:val="left"/>
        <w:rPr>
          <w:rFonts w:ascii="宋体" w:hAnsi="宋体" w:eastAsia="宋体"/>
          <w:b/>
          <w:szCs w:val="21"/>
          <w:highlight w:val="yellow"/>
        </w:rPr>
      </w:pPr>
      <w:r>
        <w:rPr>
          <w:rFonts w:hint="eastAsia" w:ascii="宋体" w:hAnsi="宋体" w:eastAsia="宋体" w:cs="宋体"/>
          <w:kern w:val="0"/>
          <w:szCs w:val="21"/>
          <w:highlight w:val="yellow"/>
        </w:rPr>
        <w:t>★</w:t>
      </w:r>
      <w:r>
        <w:rPr>
          <w:rFonts w:hint="eastAsia" w:ascii="宋体" w:hAnsi="宋体" w:eastAsia="宋体" w:cs="FangSong_GB2312"/>
          <w:b/>
          <w:szCs w:val="21"/>
          <w:highlight w:val="yellow"/>
        </w:rPr>
        <w:t>服务期限</w:t>
      </w:r>
      <w:r>
        <w:rPr>
          <w:rFonts w:hint="eastAsia" w:ascii="宋体" w:hAnsi="宋体" w:eastAsia="宋体"/>
          <w:b/>
          <w:szCs w:val="21"/>
          <w:highlight w:val="yellow"/>
        </w:rPr>
        <w:t>：</w:t>
      </w:r>
      <w:r>
        <w:rPr>
          <w:rFonts w:hint="eastAsia" w:ascii="宋体" w:hAnsi="宋体" w:eastAsia="宋体" w:cs="宋体"/>
          <w:szCs w:val="21"/>
          <w:highlight w:val="yellow"/>
        </w:rPr>
        <w:t>自合同签订之日起1年</w:t>
      </w:r>
      <w:r>
        <w:rPr>
          <w:rFonts w:hint="eastAsia" w:ascii="宋体" w:hAnsi="宋体" w:eastAsia="宋体"/>
          <w:kern w:val="0"/>
          <w:szCs w:val="21"/>
          <w:highlight w:val="yellow"/>
        </w:rPr>
        <w:t>。</w:t>
      </w:r>
    </w:p>
    <w:p w14:paraId="02A1A3A4">
      <w:pPr>
        <w:numPr>
          <w:ilvl w:val="0"/>
          <w:numId w:val="5"/>
        </w:numPr>
        <w:spacing w:afterLines="25" w:line="360" w:lineRule="auto"/>
        <w:ind w:firstLine="422" w:firstLineChars="200"/>
        <w:jc w:val="left"/>
        <w:rPr>
          <w:rFonts w:ascii="宋体" w:hAnsi="宋体" w:eastAsia="宋体"/>
          <w:b/>
          <w:bCs/>
        </w:rPr>
      </w:pPr>
      <w:r>
        <w:rPr>
          <w:rFonts w:hint="eastAsia" w:ascii="宋体" w:hAnsi="宋体" w:eastAsia="宋体" w:cs="FangSong_GB2312"/>
          <w:b/>
          <w:szCs w:val="21"/>
        </w:rPr>
        <w:t>交货地点</w:t>
      </w:r>
      <w:r>
        <w:rPr>
          <w:rFonts w:hint="eastAsia" w:ascii="宋体" w:hAnsi="宋体" w:eastAsia="宋体"/>
          <w:b/>
          <w:szCs w:val="21"/>
        </w:rPr>
        <w:t>：</w:t>
      </w:r>
      <w:r>
        <w:rPr>
          <w:rFonts w:hint="eastAsia" w:ascii="宋体" w:hAnsi="宋体" w:eastAsia="宋体" w:cs="宋体"/>
          <w:szCs w:val="21"/>
        </w:rPr>
        <w:t>深圳市宝安区人民医院指定地点。</w:t>
      </w:r>
    </w:p>
    <w:p w14:paraId="4A0BC137">
      <w:pPr>
        <w:numPr>
          <w:ilvl w:val="0"/>
          <w:numId w:val="5"/>
        </w:numPr>
        <w:spacing w:afterLines="25" w:line="360" w:lineRule="auto"/>
        <w:ind w:firstLine="420" w:firstLineChars="200"/>
        <w:jc w:val="left"/>
        <w:rPr>
          <w:rFonts w:ascii="宋体" w:hAnsi="宋体" w:eastAsia="宋体"/>
          <w:b/>
          <w:szCs w:val="21"/>
          <w:highlight w:val="yellow"/>
        </w:rPr>
      </w:pPr>
      <w:r>
        <w:rPr>
          <w:rFonts w:hint="eastAsia" w:ascii="宋体" w:hAnsi="宋体" w:eastAsia="宋体" w:cs="宋体"/>
          <w:kern w:val="0"/>
          <w:szCs w:val="21"/>
          <w:highlight w:val="yellow"/>
        </w:rPr>
        <w:t>★</w:t>
      </w:r>
      <w:r>
        <w:rPr>
          <w:rFonts w:hint="eastAsia" w:ascii="宋体" w:hAnsi="宋体" w:eastAsia="宋体" w:cs="FangSong_GB2312"/>
          <w:b/>
          <w:szCs w:val="21"/>
          <w:highlight w:val="yellow"/>
        </w:rPr>
        <w:t>付款方式</w:t>
      </w:r>
      <w:r>
        <w:rPr>
          <w:rFonts w:hint="eastAsia" w:ascii="宋体" w:hAnsi="宋体" w:eastAsia="宋体"/>
          <w:b/>
          <w:szCs w:val="21"/>
          <w:highlight w:val="yellow"/>
        </w:rPr>
        <w:t>：</w:t>
      </w:r>
      <w:r>
        <w:rPr>
          <w:rFonts w:hint="eastAsia" w:ascii="宋体" w:hAnsi="宋体" w:eastAsia="宋体" w:cs="宋体"/>
          <w:szCs w:val="21"/>
          <w:highlight w:val="yellow"/>
          <w:lang w:val="zh-CN"/>
        </w:rPr>
        <w:t>中标方提供正规发票及清单确认无误后两个月内一次性付清货款</w:t>
      </w:r>
      <w:r>
        <w:rPr>
          <w:rFonts w:hint="eastAsia" w:ascii="宋体" w:hAnsi="宋体" w:cs="宋体"/>
          <w:szCs w:val="21"/>
          <w:highlight w:val="yellow"/>
          <w:lang w:val="zh-CN"/>
        </w:rPr>
        <w:t>，</w:t>
      </w:r>
      <w:r>
        <w:rPr>
          <w:rFonts w:hint="eastAsia" w:ascii="宋体" w:hAnsi="宋体" w:eastAsia="宋体" w:cs="宋体"/>
          <w:szCs w:val="21"/>
          <w:highlight w:val="yellow"/>
          <w:lang w:val="zh-CN"/>
        </w:rPr>
        <w:t>每人按单价预算金额3</w:t>
      </w:r>
      <w:r>
        <w:rPr>
          <w:rFonts w:hint="eastAsia" w:ascii="宋体" w:hAnsi="宋体" w:eastAsia="宋体" w:cs="宋体"/>
          <w:szCs w:val="21"/>
          <w:highlight w:val="yellow"/>
          <w:lang w:val="en-US" w:eastAsia="zh-CN"/>
        </w:rPr>
        <w:t>06</w:t>
      </w:r>
      <w:r>
        <w:rPr>
          <w:rFonts w:hint="eastAsia" w:ascii="宋体" w:hAnsi="宋体" w:eastAsia="宋体" w:cs="宋体"/>
          <w:szCs w:val="21"/>
          <w:highlight w:val="yellow"/>
          <w:lang w:val="zh-CN"/>
        </w:rPr>
        <w:t>元进行支付费用，以实际选购人数进行汇总金额结算，采用转帐方式。</w:t>
      </w:r>
    </w:p>
    <w:p w14:paraId="2A005098">
      <w:pPr>
        <w:numPr>
          <w:ilvl w:val="0"/>
          <w:numId w:val="5"/>
        </w:numPr>
        <w:spacing w:afterLines="25" w:line="360" w:lineRule="auto"/>
        <w:ind w:firstLine="420" w:firstLineChars="200"/>
        <w:jc w:val="left"/>
        <w:rPr>
          <w:rFonts w:ascii="宋体" w:hAnsi="宋体" w:eastAsia="宋体"/>
          <w:b/>
          <w:szCs w:val="21"/>
          <w:highlight w:val="yellow"/>
        </w:rPr>
      </w:pPr>
      <w:r>
        <w:rPr>
          <w:rFonts w:hint="eastAsia" w:ascii="宋体" w:hAnsi="宋体" w:eastAsia="宋体" w:cs="宋体"/>
          <w:kern w:val="0"/>
          <w:szCs w:val="21"/>
          <w:highlight w:val="yellow"/>
        </w:rPr>
        <w:t>★</w:t>
      </w:r>
      <w:r>
        <w:rPr>
          <w:rFonts w:hint="eastAsia" w:ascii="宋体" w:hAnsi="宋体" w:eastAsia="宋体" w:cs="FangSong_GB2312"/>
          <w:b/>
          <w:szCs w:val="21"/>
          <w:highlight w:val="yellow"/>
        </w:rPr>
        <w:t>报价要求</w:t>
      </w:r>
      <w:r>
        <w:rPr>
          <w:rFonts w:hint="eastAsia" w:ascii="宋体" w:hAnsi="宋体" w:cs="FangSong_GB2312"/>
          <w:b/>
          <w:szCs w:val="21"/>
          <w:highlight w:val="yellow"/>
          <w:lang w:eastAsia="zh-CN"/>
        </w:rPr>
        <w:t>：</w:t>
      </w:r>
    </w:p>
    <w:p w14:paraId="2518E9D9">
      <w:pPr>
        <w:numPr>
          <w:ilvl w:val="0"/>
          <w:numId w:val="6"/>
        </w:numPr>
        <w:tabs>
          <w:tab w:val="left" w:pos="0"/>
        </w:tabs>
        <w:spacing w:afterLines="25" w:line="360" w:lineRule="auto"/>
        <w:ind w:firstLine="426"/>
        <w:rPr>
          <w:rFonts w:ascii="宋体" w:hAnsi="宋体" w:eastAsia="宋体"/>
          <w:highlight w:val="yellow"/>
        </w:rPr>
      </w:pPr>
      <w:r>
        <w:rPr>
          <w:rFonts w:hint="eastAsia" w:ascii="宋体" w:hAnsi="宋体" w:eastAsia="宋体" w:cs="宋体"/>
          <w:kern w:val="0"/>
          <w:szCs w:val="21"/>
          <w:highlight w:val="yellow"/>
        </w:rPr>
        <w:t>★</w:t>
      </w:r>
      <w:r>
        <w:rPr>
          <w:rFonts w:hint="eastAsia" w:ascii="宋体" w:hAnsi="宋体" w:eastAsia="宋体" w:cs="宋体"/>
          <w:highlight w:val="yellow"/>
        </w:rPr>
        <w:t>投标报价形式为</w:t>
      </w:r>
      <w:r>
        <w:rPr>
          <w:rFonts w:ascii="宋体" w:hAnsi="宋体" w:eastAsia="宋体"/>
          <w:highlight w:val="yellow"/>
        </w:rPr>
        <w:t>“</w:t>
      </w:r>
      <w:r>
        <w:rPr>
          <w:rFonts w:hint="eastAsia" w:ascii="宋体" w:hAnsi="宋体" w:eastAsia="宋体" w:cs="宋体"/>
          <w:highlight w:val="yellow"/>
        </w:rPr>
        <w:t>折扣率</w:t>
      </w:r>
      <w:r>
        <w:rPr>
          <w:rFonts w:ascii="宋体" w:hAnsi="宋体" w:eastAsia="宋体"/>
          <w:highlight w:val="yellow"/>
        </w:rPr>
        <w:t>”</w:t>
      </w:r>
      <w:r>
        <w:rPr>
          <w:rFonts w:hint="eastAsia" w:ascii="宋体" w:hAnsi="宋体" w:eastAsia="宋体" w:cs="宋体"/>
          <w:highlight w:val="yellow"/>
        </w:rPr>
        <w:t>报价，以</w:t>
      </w:r>
      <w:r>
        <w:rPr>
          <w:rFonts w:hint="eastAsia" w:ascii="宋体" w:hAnsi="宋体" w:eastAsia="宋体"/>
          <w:highlight w:val="yellow"/>
        </w:rPr>
        <w:t>3</w:t>
      </w:r>
      <w:r>
        <w:rPr>
          <w:rFonts w:hint="eastAsia" w:ascii="宋体" w:hAnsi="宋体" w:eastAsia="宋体"/>
          <w:highlight w:val="yellow"/>
          <w:lang w:val="en-US" w:eastAsia="zh-CN"/>
        </w:rPr>
        <w:t>06</w:t>
      </w:r>
      <w:r>
        <w:rPr>
          <w:rFonts w:hint="eastAsia" w:ascii="宋体" w:hAnsi="宋体" w:eastAsia="宋体" w:cs="宋体"/>
          <w:highlight w:val="yellow"/>
        </w:rPr>
        <w:t>元为基准数报折扣率。</w:t>
      </w:r>
      <w:r>
        <w:rPr>
          <w:rFonts w:hint="eastAsia" w:ascii="宋体" w:hAnsi="宋体" w:eastAsia="宋体" w:cs="宋体"/>
          <w:b/>
          <w:bCs/>
          <w:highlight w:val="yellow"/>
        </w:rPr>
        <w:t>折扣率按百分比报价</w:t>
      </w:r>
      <w:r>
        <w:rPr>
          <w:rFonts w:hint="eastAsia"/>
          <w:b/>
          <w:bCs/>
          <w:highlight w:val="yellow"/>
          <w:lang w:eastAsia="zh-CN"/>
        </w:rPr>
        <w:t>（并在百分号前按四舍五入法取整）</w:t>
      </w:r>
      <w:r>
        <w:rPr>
          <w:rFonts w:hint="eastAsia" w:ascii="宋体" w:hAnsi="宋体" w:eastAsia="宋体" w:cs="宋体"/>
          <w:b/>
          <w:bCs/>
          <w:highlight w:val="yellow"/>
        </w:rPr>
        <w:t>，折扣率不能低于</w:t>
      </w:r>
      <w:r>
        <w:rPr>
          <w:rFonts w:hint="eastAsia" w:ascii="宋体" w:hAnsi="宋体" w:eastAsia="宋体"/>
          <w:b/>
          <w:bCs/>
          <w:highlight w:val="yellow"/>
        </w:rPr>
        <w:t>0</w:t>
      </w:r>
      <w:r>
        <w:rPr>
          <w:rFonts w:hint="eastAsia" w:ascii="宋体" w:hAnsi="宋体" w:eastAsia="宋体" w:cs="宋体"/>
          <w:b/>
          <w:bCs/>
          <w:highlight w:val="yellow"/>
        </w:rPr>
        <w:t>或高于</w:t>
      </w:r>
      <w:r>
        <w:rPr>
          <w:rFonts w:hint="eastAsia" w:ascii="宋体" w:hAnsi="宋体" w:eastAsia="宋体"/>
          <w:b/>
          <w:bCs/>
          <w:highlight w:val="yellow"/>
        </w:rPr>
        <w:t>1</w:t>
      </w:r>
      <w:r>
        <w:rPr>
          <w:rFonts w:hint="eastAsia" w:ascii="宋体" w:hAnsi="宋体" w:eastAsia="宋体" w:cs="宋体"/>
          <w:b/>
          <w:bCs/>
          <w:highlight w:val="yellow"/>
        </w:rPr>
        <w:t>，否则</w:t>
      </w:r>
      <w:r>
        <w:rPr>
          <w:rFonts w:hint="eastAsia" w:ascii="宋体" w:hAnsi="宋体" w:cs="宋体"/>
          <w:b/>
          <w:bCs/>
          <w:highlight w:val="yellow"/>
          <w:lang w:eastAsia="zh-CN"/>
        </w:rPr>
        <w:t>将</w:t>
      </w:r>
      <w:r>
        <w:rPr>
          <w:rFonts w:hint="eastAsia" w:ascii="宋体" w:hAnsi="宋体" w:eastAsia="宋体" w:cs="宋体"/>
          <w:b/>
          <w:bCs/>
          <w:highlight w:val="yellow"/>
        </w:rPr>
        <w:t>导致投标无效。</w:t>
      </w:r>
      <w:r>
        <w:rPr>
          <w:rFonts w:hint="eastAsia" w:ascii="宋体" w:hAnsi="宋体" w:eastAsia="宋体" w:cs="宋体"/>
          <w:highlight w:val="yellow"/>
        </w:rPr>
        <w:t>计算公式为：</w:t>
      </w:r>
      <w:r>
        <w:rPr>
          <w:rFonts w:hint="eastAsia"/>
          <w:highlight w:val="yellow"/>
          <w:lang w:eastAsia="zh-CN"/>
        </w:rPr>
        <w:t>投标折扣率</w:t>
      </w:r>
      <w:r>
        <w:rPr>
          <w:rFonts w:hint="eastAsia"/>
          <w:highlight w:val="yellow"/>
          <w:lang w:val="en-US" w:eastAsia="zh-CN"/>
        </w:rPr>
        <w:t>=306</w:t>
      </w:r>
      <w:r>
        <w:rPr>
          <w:rFonts w:ascii="宋体" w:hAnsi="宋体" w:eastAsia="宋体"/>
          <w:highlight w:val="yellow"/>
        </w:rPr>
        <w:t>÷</w:t>
      </w:r>
      <w:r>
        <w:rPr>
          <w:rFonts w:hint="eastAsia" w:ascii="宋体" w:hAnsi="宋体" w:eastAsia="宋体" w:cs="宋体"/>
          <w:highlight w:val="yellow"/>
        </w:rPr>
        <w:t>提货券实际使用金额。举例说明：如提货券实际使用金额为</w:t>
      </w:r>
      <w:r>
        <w:rPr>
          <w:rFonts w:hint="eastAsia" w:ascii="宋体" w:hAnsi="宋体" w:eastAsia="宋体" w:cs="宋体"/>
          <w:highlight w:val="yellow"/>
          <w:lang w:val="en-US" w:eastAsia="zh-CN"/>
        </w:rPr>
        <w:t>350元</w:t>
      </w:r>
      <w:r>
        <w:rPr>
          <w:rFonts w:hint="eastAsia" w:ascii="宋体" w:hAnsi="宋体" w:eastAsia="宋体" w:cs="宋体"/>
          <w:highlight w:val="yellow"/>
        </w:rPr>
        <w:t>，</w:t>
      </w:r>
      <w:r>
        <w:rPr>
          <w:rFonts w:hint="eastAsia" w:ascii="宋体" w:hAnsi="宋体" w:eastAsia="宋体" w:cs="宋体"/>
          <w:highlight w:val="yellow"/>
          <w:lang w:eastAsia="zh-CN"/>
        </w:rPr>
        <w:t>则折扣率报价</w:t>
      </w:r>
      <w:r>
        <w:rPr>
          <w:rFonts w:hint="eastAsia" w:ascii="宋体" w:hAnsi="宋体" w:eastAsia="宋体" w:cs="宋体"/>
          <w:highlight w:val="yellow"/>
        </w:rPr>
        <w:t>为3</w:t>
      </w:r>
      <w:r>
        <w:rPr>
          <w:rFonts w:hint="eastAsia" w:ascii="宋体" w:hAnsi="宋体" w:eastAsia="宋体" w:cs="宋体"/>
          <w:highlight w:val="yellow"/>
          <w:lang w:val="en-US" w:eastAsia="zh-CN"/>
        </w:rPr>
        <w:t>06</w:t>
      </w:r>
      <w:r>
        <w:rPr>
          <w:rFonts w:hint="eastAsia" w:ascii="宋体" w:hAnsi="宋体" w:eastAsia="宋体" w:cs="宋体"/>
          <w:highlight w:val="yellow"/>
        </w:rPr>
        <w:t>元÷</w:t>
      </w:r>
      <w:r>
        <w:rPr>
          <w:rFonts w:hint="eastAsia" w:ascii="宋体" w:hAnsi="宋体" w:eastAsia="宋体" w:cs="宋体"/>
          <w:highlight w:val="yellow"/>
          <w:lang w:val="en-US" w:eastAsia="zh-CN"/>
        </w:rPr>
        <w:t>350</w:t>
      </w:r>
      <w:r>
        <w:rPr>
          <w:rFonts w:hint="eastAsia" w:ascii="宋体" w:hAnsi="宋体" w:eastAsia="宋体" w:cs="宋体"/>
          <w:highlight w:val="yellow"/>
        </w:rPr>
        <w:t>≈</w:t>
      </w:r>
      <w:r>
        <w:rPr>
          <w:rFonts w:hint="eastAsia" w:ascii="宋体" w:hAnsi="宋体" w:eastAsia="宋体" w:cs="宋体"/>
          <w:highlight w:val="yellow"/>
          <w:lang w:val="en-US" w:eastAsia="zh-CN"/>
        </w:rPr>
        <w:t>87%</w:t>
      </w:r>
      <w:r>
        <w:rPr>
          <w:rFonts w:hint="eastAsia" w:ascii="宋体" w:hAnsi="宋体" w:eastAsia="宋体" w:cs="宋体"/>
          <w:highlight w:val="yellow"/>
        </w:rPr>
        <w:t>（采购人实付投标人金额为3</w:t>
      </w:r>
      <w:r>
        <w:rPr>
          <w:rFonts w:hint="eastAsia" w:ascii="宋体" w:hAnsi="宋体" w:eastAsia="宋体" w:cs="宋体"/>
          <w:highlight w:val="yellow"/>
          <w:lang w:val="en-US" w:eastAsia="zh-CN"/>
        </w:rPr>
        <w:t>06</w:t>
      </w:r>
      <w:r>
        <w:rPr>
          <w:rFonts w:hint="eastAsia" w:ascii="宋体" w:hAnsi="宋体" w:eastAsia="宋体" w:cs="宋体"/>
          <w:highlight w:val="yellow"/>
        </w:rPr>
        <w:t>元/人）</w:t>
      </w:r>
      <w:r>
        <w:rPr>
          <w:rFonts w:hint="eastAsia" w:ascii="宋体" w:hAnsi="宋体" w:eastAsia="宋体"/>
          <w:highlight w:val="yellow"/>
        </w:rPr>
        <w:t>。</w:t>
      </w:r>
    </w:p>
    <w:p w14:paraId="291DFBC6">
      <w:pPr>
        <w:numPr>
          <w:ilvl w:val="0"/>
          <w:numId w:val="6"/>
        </w:numPr>
        <w:tabs>
          <w:tab w:val="left" w:pos="0"/>
        </w:tabs>
        <w:spacing w:afterLines="25" w:line="360" w:lineRule="auto"/>
        <w:ind w:firstLine="426"/>
        <w:rPr>
          <w:rFonts w:ascii="宋体" w:hAnsi="宋体" w:eastAsia="宋体"/>
          <w:highlight w:val="yellow"/>
        </w:rPr>
      </w:pPr>
      <w:r>
        <w:rPr>
          <w:rFonts w:hint="eastAsia" w:ascii="宋体" w:hAnsi="宋体" w:eastAsia="宋体" w:cs="宋体"/>
          <w:kern w:val="0"/>
          <w:szCs w:val="21"/>
          <w:highlight w:val="yellow"/>
        </w:rPr>
        <w:t>★</w:t>
      </w:r>
      <w:r>
        <w:rPr>
          <w:rFonts w:ascii="宋体" w:hAnsi="宋体" w:eastAsia="宋体"/>
          <w:highlight w:val="yellow"/>
        </w:rPr>
        <w:t>投标报价须是完成该项目的一切费用总和，</w:t>
      </w:r>
      <w:r>
        <w:rPr>
          <w:rFonts w:hint="eastAsia" w:ascii="宋体" w:hAnsi="宋体" w:eastAsia="宋体"/>
          <w:highlight w:val="yellow"/>
          <w:lang w:val="zh-CN" w:eastAsia="zh-CN"/>
        </w:rPr>
        <w:t>应包括服务成本、法定税费和企业的利润</w:t>
      </w:r>
      <w:r>
        <w:rPr>
          <w:rFonts w:ascii="宋体" w:hAnsi="宋体" w:eastAsia="宋体"/>
          <w:highlight w:val="yellow"/>
        </w:rPr>
        <w:t>等全部费用</w:t>
      </w:r>
      <w:r>
        <w:rPr>
          <w:rFonts w:hint="eastAsia" w:ascii="宋体" w:hAnsi="宋体" w:eastAsia="宋体"/>
          <w:highlight w:val="yellow"/>
        </w:rPr>
        <w:t>。</w:t>
      </w:r>
    </w:p>
    <w:p w14:paraId="293995D9">
      <w:pPr>
        <w:numPr>
          <w:ilvl w:val="0"/>
          <w:numId w:val="6"/>
        </w:numPr>
        <w:tabs>
          <w:tab w:val="left" w:pos="0"/>
        </w:tabs>
        <w:spacing w:afterLines="25" w:line="360" w:lineRule="auto"/>
        <w:ind w:firstLine="426"/>
        <w:rPr>
          <w:rFonts w:ascii="宋体" w:hAnsi="宋体" w:eastAsia="宋体"/>
        </w:rPr>
      </w:pPr>
      <w:r>
        <w:rPr>
          <w:rFonts w:ascii="宋体" w:hAnsi="宋体" w:eastAsia="宋体"/>
        </w:rPr>
        <w:t>投标人应根据本企业的成本自行决定报价。评标委员会认为投标人的报价明显低于其他通过符合性审查投标人的报价，有可能影响</w:t>
      </w:r>
      <w:r>
        <w:rPr>
          <w:rFonts w:hint="eastAsia" w:ascii="宋体" w:hAnsi="宋体"/>
          <w:lang w:val="en-US" w:eastAsia="zh-CN"/>
        </w:rPr>
        <w:t>产品</w:t>
      </w:r>
      <w:r>
        <w:rPr>
          <w:rFonts w:ascii="宋体" w:hAnsi="宋体" w:eastAsia="宋体"/>
        </w:rPr>
        <w:t>质量或不能诚信履约的，将会要求该投标人在评标现场合理的时间内提供书面说明，必要时提交相关证明材料。投标人不能证明其报价合理性的，评标委员会应将其作为无效投标处理。</w:t>
      </w:r>
    </w:p>
    <w:p w14:paraId="22400275">
      <w:pPr>
        <w:numPr>
          <w:ilvl w:val="0"/>
          <w:numId w:val="5"/>
        </w:numPr>
        <w:spacing w:afterLines="25" w:line="360" w:lineRule="auto"/>
        <w:ind w:firstLine="422" w:firstLineChars="200"/>
        <w:jc w:val="left"/>
        <w:rPr>
          <w:rFonts w:ascii="宋体" w:hAnsi="宋体" w:eastAsia="宋体"/>
          <w:b/>
          <w:szCs w:val="21"/>
        </w:rPr>
      </w:pPr>
      <w:r>
        <w:rPr>
          <w:rFonts w:hint="eastAsia" w:ascii="宋体" w:hAnsi="宋体" w:eastAsia="宋体" w:cs="FangSong_GB2312"/>
          <w:b/>
          <w:szCs w:val="21"/>
        </w:rPr>
        <w:t>供货方式</w:t>
      </w:r>
      <w:r>
        <w:rPr>
          <w:rFonts w:hint="eastAsia" w:ascii="宋体" w:hAnsi="宋体" w:eastAsia="宋体"/>
          <w:b/>
          <w:szCs w:val="21"/>
        </w:rPr>
        <w:t>：</w:t>
      </w:r>
      <w:r>
        <w:rPr>
          <w:rFonts w:hint="eastAsia" w:ascii="宋体" w:hAnsi="宋体" w:eastAsia="宋体" w:cs="宋体"/>
          <w:bCs/>
          <w:szCs w:val="21"/>
          <w:lang w:val="en-US" w:eastAsia="zh-CN"/>
        </w:rPr>
        <w:t>采购人退休职工、工会会员</w:t>
      </w:r>
      <w:r>
        <w:rPr>
          <w:rFonts w:hint="eastAsia" w:ascii="宋体" w:hAnsi="宋体" w:eastAsia="宋体" w:cs="宋体"/>
          <w:bCs/>
          <w:szCs w:val="21"/>
        </w:rPr>
        <w:t>选取套餐后全部由中标方委托快递公司免费负责配送到家。</w:t>
      </w:r>
    </w:p>
    <w:p w14:paraId="5D8CBEA5">
      <w:pPr>
        <w:numPr>
          <w:ilvl w:val="0"/>
          <w:numId w:val="5"/>
        </w:numPr>
        <w:spacing w:afterLines="25" w:line="360" w:lineRule="auto"/>
        <w:ind w:firstLine="422" w:firstLineChars="200"/>
        <w:jc w:val="left"/>
        <w:rPr>
          <w:rFonts w:ascii="宋体" w:hAnsi="宋体" w:eastAsia="宋体"/>
          <w:b/>
          <w:szCs w:val="21"/>
        </w:rPr>
      </w:pPr>
      <w:r>
        <w:rPr>
          <w:rFonts w:hint="eastAsia" w:ascii="宋体" w:hAnsi="宋体" w:eastAsia="宋体" w:cs="FangSong_GB2312"/>
          <w:b/>
          <w:szCs w:val="21"/>
        </w:rPr>
        <w:t>验收标准</w:t>
      </w:r>
      <w:r>
        <w:rPr>
          <w:rFonts w:hint="eastAsia" w:ascii="宋体" w:hAnsi="宋体" w:eastAsia="宋体"/>
          <w:b/>
          <w:szCs w:val="21"/>
        </w:rPr>
        <w:t>：</w:t>
      </w:r>
      <w:r>
        <w:rPr>
          <w:rFonts w:hint="eastAsia" w:ascii="宋体" w:hAnsi="宋体" w:eastAsia="宋体"/>
          <w:kern w:val="0"/>
          <w:szCs w:val="21"/>
        </w:rPr>
        <w:t>以合同约定为准。</w:t>
      </w:r>
    </w:p>
    <w:p w14:paraId="12ABA595">
      <w:pPr>
        <w:numPr>
          <w:ilvl w:val="0"/>
          <w:numId w:val="5"/>
        </w:numPr>
        <w:spacing w:afterLines="25" w:line="360" w:lineRule="auto"/>
        <w:ind w:firstLine="422" w:firstLineChars="200"/>
        <w:jc w:val="left"/>
        <w:rPr>
          <w:rFonts w:ascii="宋体" w:hAnsi="宋体" w:eastAsia="宋体"/>
          <w:b/>
          <w:szCs w:val="21"/>
        </w:rPr>
      </w:pPr>
      <w:r>
        <w:rPr>
          <w:rFonts w:hint="eastAsia" w:ascii="宋体" w:hAnsi="宋体" w:eastAsia="宋体" w:cs="FangSong_GB2312"/>
          <w:b/>
          <w:szCs w:val="21"/>
        </w:rPr>
        <w:t>产品要求</w:t>
      </w:r>
      <w:r>
        <w:rPr>
          <w:rFonts w:hint="eastAsia" w:ascii="宋体" w:hAnsi="宋体" w:eastAsia="宋体"/>
          <w:b/>
          <w:szCs w:val="21"/>
        </w:rPr>
        <w:t>：</w:t>
      </w:r>
      <w:r>
        <w:rPr>
          <w:rFonts w:hint="eastAsia" w:ascii="宋体" w:hAnsi="宋体" w:eastAsia="宋体" w:cs="宋体"/>
          <w:szCs w:val="21"/>
          <w:lang w:val="zh-CN"/>
        </w:rPr>
        <w:t>所有产品都要符合国家所规定的卫生及产品质量要求，公司对有问题的产品无条件退换。</w:t>
      </w:r>
    </w:p>
    <w:p w14:paraId="38A9A75E">
      <w:pPr>
        <w:numPr>
          <w:ilvl w:val="0"/>
          <w:numId w:val="5"/>
        </w:numPr>
        <w:spacing w:afterLines="25" w:line="360" w:lineRule="auto"/>
        <w:ind w:firstLine="422" w:firstLineChars="200"/>
        <w:jc w:val="left"/>
        <w:rPr>
          <w:rFonts w:ascii="宋体" w:hAnsi="宋体" w:eastAsia="宋体"/>
          <w:b/>
          <w:szCs w:val="21"/>
        </w:rPr>
      </w:pPr>
      <w:r>
        <w:rPr>
          <w:rFonts w:hint="eastAsia" w:ascii="宋体" w:hAnsi="宋体" w:eastAsia="宋体" w:cs="FangSong_GB2312"/>
          <w:b/>
          <w:szCs w:val="21"/>
        </w:rPr>
        <w:t>服务保证</w:t>
      </w:r>
    </w:p>
    <w:p w14:paraId="5CC14CD0">
      <w:pPr>
        <w:numPr>
          <w:ilvl w:val="0"/>
          <w:numId w:val="7"/>
        </w:numPr>
        <w:tabs>
          <w:tab w:val="left" w:pos="0"/>
        </w:tabs>
        <w:adjustRightInd w:val="0"/>
        <w:snapToGrid w:val="0"/>
        <w:spacing w:afterLines="25" w:line="360" w:lineRule="auto"/>
        <w:ind w:firstLine="426"/>
        <w:rPr>
          <w:rFonts w:ascii="宋体" w:hAnsi="宋体" w:eastAsia="宋体" w:cs="宋体"/>
          <w:szCs w:val="21"/>
          <w:lang w:val="zh-CN"/>
        </w:rPr>
      </w:pPr>
      <w:r>
        <w:rPr>
          <w:rFonts w:hint="eastAsia" w:ascii="宋体" w:hAnsi="宋体" w:eastAsia="宋体" w:cs="宋体"/>
          <w:szCs w:val="21"/>
          <w:lang w:val="zh-CN"/>
        </w:rPr>
        <w:t>产品实行三包（包退、包换、且免费配送到家）。</w:t>
      </w:r>
    </w:p>
    <w:p w14:paraId="59A26E74">
      <w:pPr>
        <w:numPr>
          <w:ilvl w:val="0"/>
          <w:numId w:val="7"/>
        </w:numPr>
        <w:tabs>
          <w:tab w:val="left" w:pos="0"/>
        </w:tabs>
        <w:spacing w:afterLines="25" w:line="360" w:lineRule="auto"/>
        <w:ind w:firstLine="426"/>
        <w:jc w:val="left"/>
        <w:rPr>
          <w:rFonts w:ascii="宋体" w:hAnsi="宋体" w:eastAsia="宋体" w:cs="宋体"/>
          <w:bCs/>
          <w:szCs w:val="21"/>
        </w:rPr>
      </w:pPr>
      <w:r>
        <w:rPr>
          <w:rFonts w:hint="eastAsia" w:ascii="宋体" w:hAnsi="宋体" w:eastAsia="宋体" w:cs="宋体"/>
          <w:bCs/>
          <w:szCs w:val="21"/>
        </w:rPr>
        <w:t>采购人</w:t>
      </w:r>
      <w:r>
        <w:rPr>
          <w:rFonts w:hint="eastAsia"/>
          <w:lang w:val="en-US" w:eastAsia="zh-CN"/>
        </w:rPr>
        <w:t>退休职工、</w:t>
      </w:r>
      <w:r>
        <w:rPr>
          <w:rFonts w:hint="eastAsia" w:ascii="宋体" w:hAnsi="宋体" w:eastAsia="宋体" w:cs="宋体"/>
          <w:bCs/>
          <w:szCs w:val="21"/>
        </w:rPr>
        <w:t>工会会员到中标人门店自提或线上采购包邮送货到家。</w:t>
      </w:r>
    </w:p>
    <w:p w14:paraId="57E0B90E">
      <w:pPr>
        <w:numPr>
          <w:ilvl w:val="0"/>
          <w:numId w:val="7"/>
        </w:numPr>
        <w:tabs>
          <w:tab w:val="left" w:pos="0"/>
        </w:tabs>
        <w:spacing w:afterLines="25" w:line="360" w:lineRule="auto"/>
        <w:ind w:firstLine="426"/>
        <w:rPr>
          <w:rFonts w:ascii="宋体" w:hAnsi="宋体" w:eastAsia="宋体" w:cs="Arial"/>
          <w:bCs/>
          <w:szCs w:val="21"/>
        </w:rPr>
      </w:pPr>
      <w:r>
        <w:rPr>
          <w:rFonts w:hint="eastAsia" w:ascii="宋体" w:hAnsi="宋体" w:eastAsia="宋体" w:cs="Arial"/>
          <w:bCs/>
          <w:szCs w:val="21"/>
        </w:rPr>
        <w:t>投标人需保证所提供的产品均符合广东省总工会2018年1月28日（粤工总【2018】5号）下发的《广东省基层工会经费收支管理实施细则（试行）》文件中规定的：节日慰问品原则上为符合中国传统节日习惯的用品和职工群众必须的生活用品等，如：普通粽子、普通月饼、米、面、油、肉、蛋、奶、水果、干果等。</w:t>
      </w:r>
    </w:p>
    <w:p w14:paraId="0995CF79">
      <w:pPr>
        <w:numPr>
          <w:ilvl w:val="0"/>
          <w:numId w:val="7"/>
        </w:numPr>
        <w:tabs>
          <w:tab w:val="left" w:pos="0"/>
        </w:tabs>
        <w:spacing w:afterLines="25" w:line="360" w:lineRule="auto"/>
        <w:ind w:firstLine="426"/>
        <w:rPr>
          <w:rFonts w:ascii="宋体" w:hAnsi="宋体" w:eastAsia="宋体" w:cs="Arial"/>
          <w:bCs/>
          <w:szCs w:val="21"/>
          <w:highlight w:val="yellow"/>
        </w:rPr>
      </w:pPr>
      <w:r>
        <w:rPr>
          <w:rFonts w:hint="eastAsia" w:ascii="宋体" w:hAnsi="宋体" w:eastAsia="宋体" w:cs="宋体"/>
          <w:kern w:val="0"/>
          <w:szCs w:val="21"/>
          <w:highlight w:val="yellow"/>
        </w:rPr>
        <w:t>★投标人在深圳市范围内可以提供一家及以上实体店供采购人</w:t>
      </w:r>
      <w:r>
        <w:rPr>
          <w:rFonts w:hint="eastAsia" w:ascii="宋体" w:hAnsi="宋体" w:eastAsia="宋体" w:cs="宋体"/>
          <w:kern w:val="0"/>
          <w:szCs w:val="21"/>
          <w:highlight w:val="yellow"/>
          <w:lang w:val="en-US" w:eastAsia="zh-CN"/>
        </w:rPr>
        <w:t>退休职工、工会会员</w:t>
      </w:r>
      <w:r>
        <w:rPr>
          <w:rFonts w:hint="eastAsia" w:ascii="宋体" w:hAnsi="宋体" w:eastAsia="宋体" w:cs="宋体"/>
          <w:kern w:val="0"/>
          <w:szCs w:val="21"/>
          <w:highlight w:val="yellow"/>
        </w:rPr>
        <w:t>选购物资。如为自营的，提供实体店清单以及各个实体店的具体地址、联系人和联系电话</w:t>
      </w:r>
      <w:r>
        <w:rPr>
          <w:rFonts w:hint="eastAsia" w:ascii="宋体" w:hAnsi="宋体" w:cs="宋体"/>
          <w:kern w:val="0"/>
          <w:szCs w:val="21"/>
          <w:highlight w:val="yellow"/>
          <w:lang w:eastAsia="zh-CN"/>
        </w:rPr>
        <w:t>；</w:t>
      </w:r>
      <w:r>
        <w:rPr>
          <w:rFonts w:hint="eastAsia" w:ascii="宋体" w:hAnsi="宋体" w:eastAsia="宋体" w:cs="宋体"/>
          <w:kern w:val="0"/>
          <w:szCs w:val="21"/>
          <w:highlight w:val="yellow"/>
        </w:rPr>
        <w:t>如为合作的，提供合作协议、实体店清单以及各个实体店的具体地址、联系人和联系电话</w:t>
      </w:r>
      <w:r>
        <w:rPr>
          <w:rFonts w:hint="eastAsia" w:ascii="宋体" w:hAnsi="宋体" w:cs="宋体"/>
          <w:kern w:val="0"/>
          <w:szCs w:val="21"/>
          <w:highlight w:val="yellow"/>
          <w:lang w:eastAsia="zh-CN"/>
        </w:rPr>
        <w:t>；</w:t>
      </w:r>
      <w:r>
        <w:rPr>
          <w:rFonts w:hint="eastAsia" w:ascii="宋体" w:hAnsi="宋体" w:eastAsia="宋体" w:cs="宋体"/>
          <w:kern w:val="0"/>
          <w:szCs w:val="21"/>
          <w:highlight w:val="yellow"/>
        </w:rPr>
        <w:t>如在深圳市范围内无实体店，须承诺在中标后提供深圳市范围内的实体店服务（</w:t>
      </w:r>
      <w:r>
        <w:rPr>
          <w:rFonts w:hint="eastAsia" w:ascii="宋体" w:hAnsi="宋体" w:eastAsia="宋体" w:cs="宋体"/>
          <w:kern w:val="0"/>
          <w:szCs w:val="21"/>
          <w:highlight w:val="yellow"/>
          <w:lang w:val="en-US" w:eastAsia="zh-CN"/>
        </w:rPr>
        <w:t>需提供承诺函，</w:t>
      </w:r>
      <w:r>
        <w:rPr>
          <w:rFonts w:hint="eastAsia" w:ascii="宋体" w:hAnsi="宋体" w:eastAsia="宋体" w:cs="宋体"/>
          <w:kern w:val="0"/>
          <w:szCs w:val="21"/>
          <w:highlight w:val="yellow"/>
        </w:rPr>
        <w:t>格式自拟）。</w:t>
      </w:r>
    </w:p>
    <w:p w14:paraId="41C37C26">
      <w:pPr>
        <w:numPr>
          <w:ilvl w:val="0"/>
          <w:numId w:val="7"/>
        </w:numPr>
        <w:tabs>
          <w:tab w:val="left" w:pos="0"/>
        </w:tabs>
        <w:spacing w:afterLines="25" w:line="360" w:lineRule="auto"/>
        <w:ind w:firstLine="426"/>
        <w:rPr>
          <w:rFonts w:ascii="宋体" w:hAnsi="宋体" w:eastAsia="宋体" w:cs="Arial"/>
          <w:bCs/>
          <w:szCs w:val="21"/>
        </w:rPr>
      </w:pPr>
      <w:r>
        <w:rPr>
          <w:rFonts w:hint="eastAsia" w:ascii="宋体" w:hAnsi="宋体" w:eastAsia="宋体" w:cs="宋体"/>
          <w:bCs/>
          <w:szCs w:val="21"/>
        </w:rPr>
        <w:t>中标人提供的提货券能在深圳各大门店通用，提货券有效</w:t>
      </w:r>
      <w:r>
        <w:rPr>
          <w:rFonts w:hint="eastAsia" w:ascii="宋体" w:hAnsi="宋体" w:eastAsia="宋体" w:cs="宋体"/>
          <w:kern w:val="0"/>
          <w:szCs w:val="21"/>
        </w:rPr>
        <w:t>期2个月</w:t>
      </w:r>
      <w:r>
        <w:rPr>
          <w:rFonts w:hint="eastAsia" w:ascii="宋体" w:hAnsi="宋体" w:cs="宋体"/>
          <w:kern w:val="0"/>
          <w:szCs w:val="21"/>
          <w:lang w:eastAsia="zh-CN"/>
        </w:rPr>
        <w:t>（</w:t>
      </w:r>
      <w:r>
        <w:rPr>
          <w:rFonts w:hint="eastAsia"/>
          <w:lang w:val="en-US" w:eastAsia="zh-CN"/>
        </w:rPr>
        <w:t>有效期</w:t>
      </w:r>
      <w:r>
        <w:rPr>
          <w:rFonts w:hint="eastAsia"/>
          <w:lang w:eastAsia="zh-CN"/>
        </w:rPr>
        <w:t>自</w:t>
      </w:r>
      <w:r>
        <w:rPr>
          <w:rFonts w:hint="eastAsia" w:ascii="宋体" w:hAnsi="宋体" w:eastAsia="宋体" w:cs="宋体"/>
          <w:bCs/>
          <w:szCs w:val="21"/>
        </w:rPr>
        <w:t>提货券</w:t>
      </w:r>
      <w:r>
        <w:rPr>
          <w:rFonts w:hint="eastAsia" w:ascii="宋体" w:hAnsi="宋体" w:cs="宋体"/>
          <w:bCs/>
          <w:szCs w:val="21"/>
          <w:lang w:eastAsia="zh-CN"/>
        </w:rPr>
        <w:t>发放之日起开始计算</w:t>
      </w:r>
      <w:r>
        <w:rPr>
          <w:rFonts w:hint="eastAsia" w:ascii="宋体" w:hAnsi="宋体" w:cs="宋体"/>
          <w:kern w:val="0"/>
          <w:szCs w:val="21"/>
          <w:lang w:eastAsia="zh-CN"/>
        </w:rPr>
        <w:t>）</w:t>
      </w:r>
      <w:r>
        <w:rPr>
          <w:rFonts w:hint="eastAsia" w:ascii="宋体" w:hAnsi="宋体" w:eastAsia="宋体" w:cs="宋体"/>
          <w:kern w:val="0"/>
          <w:szCs w:val="21"/>
        </w:rPr>
        <w:t>。</w:t>
      </w:r>
    </w:p>
    <w:p w14:paraId="690E311F">
      <w:pPr>
        <w:numPr>
          <w:ilvl w:val="0"/>
          <w:numId w:val="7"/>
        </w:numPr>
        <w:tabs>
          <w:tab w:val="left" w:pos="0"/>
        </w:tabs>
        <w:spacing w:afterLines="25" w:line="360" w:lineRule="auto"/>
        <w:ind w:firstLine="426"/>
        <w:rPr>
          <w:rFonts w:ascii="宋体" w:hAnsi="宋体" w:eastAsia="宋体" w:cs="Arial"/>
          <w:bCs/>
          <w:szCs w:val="21"/>
        </w:rPr>
      </w:pPr>
      <w:r>
        <w:rPr>
          <w:rFonts w:hint="eastAsia" w:ascii="宋体" w:hAnsi="宋体" w:eastAsia="宋体" w:cs="宋体"/>
          <w:bCs/>
          <w:szCs w:val="21"/>
        </w:rPr>
        <w:t>提货券实际可使用金额同样可享受商品会员价、促销价、特价服务。</w:t>
      </w:r>
    </w:p>
    <w:p w14:paraId="31AA3032">
      <w:pPr>
        <w:numPr>
          <w:ilvl w:val="0"/>
          <w:numId w:val="7"/>
        </w:numPr>
        <w:tabs>
          <w:tab w:val="left" w:pos="0"/>
        </w:tabs>
        <w:spacing w:afterLines="25" w:line="360" w:lineRule="auto"/>
        <w:ind w:firstLine="426"/>
        <w:rPr>
          <w:rFonts w:ascii="宋体" w:hAnsi="宋体" w:eastAsia="宋体" w:cs="宋体"/>
          <w:kern w:val="0"/>
          <w:szCs w:val="21"/>
        </w:rPr>
      </w:pPr>
      <w:r>
        <w:rPr>
          <w:rFonts w:hint="eastAsia" w:ascii="宋体" w:hAnsi="宋体" w:eastAsia="宋体" w:cs="宋体"/>
          <w:bCs/>
          <w:szCs w:val="21"/>
        </w:rPr>
        <w:t>中标方最终所提供产品需经过</w:t>
      </w:r>
      <w:r>
        <w:rPr>
          <w:rFonts w:hint="eastAsia" w:ascii="宋体" w:hAnsi="宋体" w:eastAsia="宋体" w:cs="宋体"/>
          <w:bCs/>
          <w:szCs w:val="21"/>
          <w:lang w:val="en-US" w:eastAsia="zh-CN"/>
        </w:rPr>
        <w:t>采购人</w:t>
      </w:r>
      <w:r>
        <w:rPr>
          <w:rFonts w:hint="eastAsia" w:ascii="宋体" w:hAnsi="宋体" w:eastAsia="宋体" w:cs="宋体"/>
          <w:bCs/>
          <w:szCs w:val="21"/>
        </w:rPr>
        <w:t>确认是否符合要求。</w:t>
      </w:r>
    </w:p>
    <w:p w14:paraId="3D0AA405">
      <w:pPr>
        <w:spacing w:line="360" w:lineRule="auto"/>
        <w:rPr>
          <w:rFonts w:ascii="宋体" w:hAnsi="宋体" w:cs="楷体"/>
          <w:bCs/>
        </w:rPr>
      </w:pPr>
      <w:bookmarkStart w:id="8" w:name="_Toc135293161"/>
    </w:p>
    <w:p w14:paraId="20782614">
      <w:pPr>
        <w:spacing w:line="360" w:lineRule="auto"/>
        <w:rPr>
          <w:rFonts w:ascii="宋体" w:hAnsi="宋体"/>
          <w:b/>
          <w:kern w:val="0"/>
          <w:sz w:val="24"/>
        </w:rPr>
      </w:pPr>
      <w:r>
        <w:rPr>
          <w:rFonts w:hint="eastAsia" w:ascii="宋体" w:hAnsi="宋体"/>
          <w:b/>
          <w:kern w:val="0"/>
          <w:sz w:val="24"/>
          <w:lang w:val="en-US" w:eastAsia="zh-CN"/>
        </w:rPr>
        <w:t>三</w:t>
      </w:r>
      <w:r>
        <w:rPr>
          <w:rFonts w:hint="eastAsia" w:ascii="宋体" w:hAnsi="宋体"/>
          <w:b/>
          <w:kern w:val="0"/>
          <w:sz w:val="24"/>
        </w:rPr>
        <w:t>、其他要求</w:t>
      </w:r>
    </w:p>
    <w:p w14:paraId="53266425">
      <w:pPr>
        <w:spacing w:beforeLines="25" w:afterLines="25" w:line="360" w:lineRule="auto"/>
        <w:ind w:firstLine="392" w:firstLineChars="187"/>
        <w:rPr>
          <w:rFonts w:ascii="宋体" w:hAnsi="宋体" w:cs="楷体"/>
          <w:bCs/>
        </w:rPr>
      </w:pPr>
      <w:r>
        <w:rPr>
          <w:rFonts w:hint="eastAsia" w:ascii="宋体" w:hAnsi="宋体" w:cs="宋体"/>
          <w:szCs w:val="21"/>
          <w:highlight w:val="yellow"/>
        </w:rPr>
        <w:t>★投标供应商须提供法定代表人（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的需提供相关说明（格式自拟）。未按要求提供</w:t>
      </w:r>
      <w:r>
        <w:rPr>
          <w:rFonts w:hint="eastAsia" w:ascii="宋体" w:hAnsi="宋体" w:cs="宋体"/>
          <w:szCs w:val="21"/>
          <w:highlight w:val="yellow"/>
          <w:lang w:eastAsia="zh-CN"/>
        </w:rPr>
        <w:t>相关</w:t>
      </w:r>
      <w:r>
        <w:rPr>
          <w:rFonts w:hint="eastAsia" w:ascii="宋体" w:hAnsi="宋体" w:cs="宋体"/>
          <w:szCs w:val="21"/>
          <w:highlight w:val="yellow"/>
        </w:rPr>
        <w:t>材料或投标供应商之间存在法定代表人（负责人）、项目投标授权代表人为同一人、属同一单位或者在同一单位缴纳社保的，按投标无效处理。</w:t>
      </w:r>
    </w:p>
    <w:p w14:paraId="1B06AE9D">
      <w:pPr>
        <w:ind w:firstLine="420" w:firstLineChars="200"/>
      </w:pPr>
    </w:p>
    <w:p w14:paraId="4E02EE89">
      <w:pPr>
        <w:pStyle w:val="3"/>
        <w:rPr>
          <w:rFonts w:hint="eastAsia"/>
        </w:rPr>
      </w:pPr>
    </w:p>
    <w:p w14:paraId="3265A680">
      <w:pPr>
        <w:rPr>
          <w:rFonts w:hint="eastAsia"/>
        </w:rPr>
      </w:pPr>
    </w:p>
    <w:p w14:paraId="260C741C">
      <w:pPr>
        <w:pStyle w:val="3"/>
      </w:pPr>
      <w:r>
        <w:rPr>
          <w:rFonts w:hint="eastAsia"/>
        </w:rPr>
        <w:t>第三章  投标文件初审</w:t>
      </w:r>
      <w:bookmarkEnd w:id="8"/>
    </w:p>
    <w:p w14:paraId="34DEA49B">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3F1DAF2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0189D8B2">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9" w:name="_Toc135293162"/>
    </w:p>
    <w:p w14:paraId="0841F6F5">
      <w:pPr>
        <w:pStyle w:val="2"/>
      </w:pPr>
    </w:p>
    <w:p w14:paraId="1A9745C8">
      <w:pPr>
        <w:pStyle w:val="3"/>
        <w:spacing w:after="0"/>
      </w:pPr>
      <w:r>
        <w:rPr>
          <w:rFonts w:hint="eastAsia"/>
        </w:rPr>
        <w:t>第四章  评标方法和标准</w:t>
      </w:r>
      <w:bookmarkEnd w:id="9"/>
    </w:p>
    <w:p w14:paraId="4A994828"/>
    <w:p w14:paraId="2F2DF2E1">
      <w:pPr>
        <w:pStyle w:val="2"/>
        <w:spacing w:before="0" w:after="0"/>
      </w:pPr>
      <w:bookmarkStart w:id="10" w:name="_Toc44690429"/>
      <w:bookmarkStart w:id="11" w:name="_Toc44691393"/>
      <w:bookmarkStart w:id="12" w:name="_Toc44691161"/>
      <w:bookmarkStart w:id="13" w:name="_Toc44690702"/>
      <w:bookmarkStart w:id="14" w:name="_Toc135293163"/>
      <w:r>
        <w:rPr>
          <w:rFonts w:hint="eastAsia"/>
        </w:rPr>
        <w:t>一、</w:t>
      </w:r>
      <w:r>
        <w:t>评标方法</w:t>
      </w:r>
      <w:bookmarkEnd w:id="10"/>
      <w:bookmarkEnd w:id="11"/>
      <w:bookmarkEnd w:id="12"/>
      <w:bookmarkEnd w:id="13"/>
      <w:bookmarkEnd w:id="14"/>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3</w:t>
      </w:r>
      <w:r>
        <w:rPr>
          <w:rFonts w:hint="eastAsia" w:cs="仿宋" w:asciiTheme="minorEastAsia" w:hAnsiTheme="minorEastAsia" w:eastAsiaTheme="minorEastAsia"/>
          <w:kern w:val="2"/>
          <w:sz w:val="21"/>
          <w:szCs w:val="21"/>
        </w:rPr>
        <w:t>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F6BBEA2">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0FEC22B0">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w:t>
      </w:r>
      <w:r>
        <w:rPr>
          <w:rFonts w:hint="eastAsia" w:cs="仿宋" w:asciiTheme="minorEastAsia" w:hAnsiTheme="minorEastAsia" w:eastAsiaTheme="minorEastAsia"/>
          <w:b/>
          <w:kern w:val="2"/>
          <w:sz w:val="21"/>
          <w:szCs w:val="21"/>
          <w:lang w:val="en-US" w:eastAsia="zh-CN"/>
        </w:rPr>
        <w:t>前三</w:t>
      </w:r>
      <w:r>
        <w:rPr>
          <w:rFonts w:hint="eastAsia" w:cs="仿宋" w:asciiTheme="minorEastAsia" w:hAnsiTheme="minorEastAsia" w:eastAsiaTheme="minorEastAsia"/>
          <w:b/>
          <w:kern w:val="2"/>
          <w:sz w:val="21"/>
          <w:szCs w:val="21"/>
        </w:rPr>
        <w:t>的投标人</w:t>
      </w:r>
      <w:r>
        <w:rPr>
          <w:rFonts w:hint="eastAsia" w:cs="仿宋" w:asciiTheme="minorEastAsia" w:hAnsiTheme="minorEastAsia" w:eastAsiaTheme="minorEastAsia"/>
          <w:kern w:val="2"/>
          <w:sz w:val="21"/>
          <w:szCs w:val="21"/>
        </w:rPr>
        <w:t>作为候选中标供应商。</w:t>
      </w:r>
    </w:p>
    <w:p w14:paraId="36CE6331">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2"/>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en-US" w:eastAsia="zh-CN"/>
              </w:rPr>
              <w:t>2</w:t>
            </w:r>
            <w:r>
              <w:rPr>
                <w:rFonts w:hint="eastAsia" w:cs="仿宋" w:asciiTheme="minorEastAsia" w:hAnsiTheme="minorEastAsia" w:eastAsiaTheme="minorEastAsia"/>
                <w:b/>
                <w:szCs w:val="21"/>
              </w:rPr>
              <w:t>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lang w:val="en-US" w:eastAsia="zh-CN"/>
              </w:rPr>
              <w:t>4</w:t>
            </w:r>
            <w:r>
              <w:rPr>
                <w:rFonts w:hint="eastAsia" w:cs="仿宋" w:asciiTheme="minorEastAsia" w:hAnsiTheme="minorEastAsia" w:eastAsiaTheme="minorEastAsia"/>
                <w:b/>
                <w:szCs w:val="21"/>
                <w:highlight w:val="yellow"/>
              </w:rPr>
              <w:t>5</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供货服务方案</w:t>
            </w:r>
          </w:p>
        </w:tc>
        <w:tc>
          <w:tcPr>
            <w:tcW w:w="709" w:type="dxa"/>
            <w:vAlign w:val="center"/>
          </w:tcPr>
          <w:p w14:paraId="490D2051">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15</w:t>
            </w:r>
          </w:p>
        </w:tc>
        <w:tc>
          <w:tcPr>
            <w:tcW w:w="5953" w:type="dxa"/>
            <w:vAlign w:val="center"/>
          </w:tcPr>
          <w:p w14:paraId="36D4626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5B7687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考察投标人提供的供货服务方案，包含以下内容：</w:t>
            </w:r>
          </w:p>
          <w:p w14:paraId="2EB8A0D0">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1、货源、采购渠道；</w:t>
            </w:r>
          </w:p>
          <w:p w14:paraId="6C903F33">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2、供货保障方案；</w:t>
            </w:r>
          </w:p>
          <w:p w14:paraId="16AF5CF0">
            <w:pPr>
              <w:autoSpaceDE w:val="0"/>
              <w:autoSpaceDN w:val="0"/>
              <w:adjustRightInd w:val="0"/>
              <w:spacing w:line="360" w:lineRule="exact"/>
              <w:rPr>
                <w:rFonts w:hint="eastAsia" w:ascii="宋体" w:hAnsi="宋体" w:eastAsia="宋体" w:cs="宋体"/>
                <w:szCs w:val="21"/>
              </w:rPr>
            </w:pPr>
            <w:r>
              <w:rPr>
                <w:rFonts w:hint="eastAsia" w:asciiTheme="minorEastAsia" w:hAnsiTheme="minorEastAsia" w:eastAsiaTheme="minorEastAsia"/>
                <w:kern w:val="0"/>
                <w:szCs w:val="21"/>
              </w:rPr>
              <w:t>3、</w:t>
            </w:r>
            <w:r>
              <w:rPr>
                <w:rFonts w:hint="eastAsia" w:ascii="宋体" w:hAnsi="宋体" w:eastAsia="宋体" w:cs="宋体"/>
                <w:szCs w:val="21"/>
              </w:rPr>
              <w:t>品质监控方案；</w:t>
            </w:r>
          </w:p>
          <w:p w14:paraId="65D1E15C">
            <w:pPr>
              <w:autoSpaceDE w:val="0"/>
              <w:autoSpaceDN w:val="0"/>
              <w:adjustRightInd w:val="0"/>
              <w:spacing w:line="360" w:lineRule="exact"/>
              <w:rPr>
                <w:rFonts w:hint="eastAsia" w:ascii="宋体" w:hAnsi="宋体" w:eastAsia="宋体" w:cs="宋体"/>
                <w:szCs w:val="21"/>
                <w:lang w:val="en-US" w:eastAsia="zh-CN"/>
              </w:rPr>
            </w:pPr>
            <w:r>
              <w:rPr>
                <w:rFonts w:hint="eastAsia" w:ascii="宋体" w:hAnsi="宋体" w:cs="宋体"/>
                <w:szCs w:val="21"/>
                <w:lang w:val="en-US" w:eastAsia="zh-CN"/>
              </w:rPr>
              <w:t>4、供货及配送服务日常管理组织制度。</w:t>
            </w:r>
          </w:p>
          <w:p w14:paraId="5551B3C2">
            <w:pPr>
              <w:autoSpaceDE w:val="0"/>
              <w:autoSpaceDN w:val="0"/>
              <w:adjustRightInd w:val="0"/>
              <w:spacing w:line="360" w:lineRule="exact"/>
              <w:jc w:val="left"/>
              <w:rPr>
                <w:rFonts w:hint="eastAsia" w:asciiTheme="minorEastAsia" w:hAnsiTheme="minorEastAsia" w:eastAsiaTheme="minorEastAsia"/>
                <w:kern w:val="0"/>
                <w:szCs w:val="21"/>
              </w:rPr>
            </w:pPr>
          </w:p>
          <w:p w14:paraId="59E83DB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0195EE23">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w:t>
            </w:r>
            <w:r>
              <w:rPr>
                <w:rFonts w:hint="eastAsia" w:asciiTheme="minorEastAsia" w:hAnsiTheme="minorEastAsia" w:eastAsiaTheme="minorEastAsia"/>
                <w:szCs w:val="21"/>
                <w:lang w:val="en-US" w:eastAsia="zh-CN"/>
              </w:rPr>
              <w:t>四</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分；包含以上</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分；包含以上二项内容得2分；包含以上一项内容得1分；其他情况不得分。</w:t>
            </w:r>
          </w:p>
          <w:p w14:paraId="09F0224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614DF19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宋体"/>
                <w:szCs w:val="21"/>
              </w:rPr>
              <w:t>货源、采购渠道透明，供货保障方案科学合理，品质监控方案全面</w:t>
            </w:r>
            <w:r>
              <w:rPr>
                <w:rFonts w:hint="eastAsia" w:ascii="宋体" w:hAnsi="宋体" w:cs="宋体"/>
                <w:szCs w:val="21"/>
                <w:lang w:eastAsia="zh-CN"/>
              </w:rPr>
              <w:t>，</w:t>
            </w:r>
            <w:r>
              <w:rPr>
                <w:rFonts w:hint="eastAsia" w:ascii="宋体" w:hAnsi="宋体" w:eastAsia="宋体" w:cs="宋体"/>
                <w:szCs w:val="21"/>
              </w:rPr>
              <w:t>供货及配送服务日常管理组织制度可操作性强，</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分；</w:t>
            </w:r>
          </w:p>
          <w:p w14:paraId="496F705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eastAsia="宋体" w:cs="宋体"/>
                <w:szCs w:val="21"/>
              </w:rPr>
              <w:t>货源、采购渠道较透明，供货保障方案较科学合理，品质监控方案较全面</w:t>
            </w:r>
            <w:r>
              <w:rPr>
                <w:rFonts w:hint="eastAsia" w:ascii="宋体" w:hAnsi="宋体" w:cs="宋体"/>
                <w:szCs w:val="21"/>
                <w:lang w:eastAsia="zh-CN"/>
              </w:rPr>
              <w:t>，</w:t>
            </w:r>
            <w:r>
              <w:rPr>
                <w:rFonts w:hint="eastAsia" w:ascii="宋体" w:hAnsi="宋体" w:eastAsia="宋体" w:cs="宋体"/>
                <w:szCs w:val="21"/>
              </w:rPr>
              <w:t>供货及配送服务日常管理组织制度可操作性较强</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分；</w:t>
            </w:r>
          </w:p>
          <w:p w14:paraId="3187A8D6">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宋体"/>
                <w:szCs w:val="21"/>
              </w:rPr>
              <w:t>货源、采购渠道基本透明，供货保障方案基本科学合理，品质监控方案基本全面</w:t>
            </w:r>
            <w:r>
              <w:rPr>
                <w:rFonts w:hint="eastAsia" w:ascii="宋体" w:hAnsi="宋体" w:cs="宋体"/>
                <w:szCs w:val="21"/>
                <w:lang w:eastAsia="zh-CN"/>
              </w:rPr>
              <w:t>，</w:t>
            </w:r>
            <w:r>
              <w:rPr>
                <w:rFonts w:hint="eastAsia" w:ascii="宋体" w:hAnsi="宋体" w:eastAsia="宋体" w:cs="宋体"/>
                <w:szCs w:val="21"/>
              </w:rPr>
              <w:t>供货及配送服务日常管理组织制度可操作性一般</w:t>
            </w:r>
            <w:r>
              <w:rPr>
                <w:rFonts w:hint="eastAsia" w:ascii="宋体" w:hAnsi="宋体" w:cs="宋体"/>
                <w:szCs w:val="21"/>
                <w:lang w:eastAsia="zh-CN"/>
              </w:rPr>
              <w:t>，</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w:t>
            </w:r>
          </w:p>
          <w:p w14:paraId="19BEA1CA">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szCs w:val="21"/>
              </w:rPr>
              <w:t>4.</w:t>
            </w:r>
            <w:r>
              <w:rPr>
                <w:rFonts w:hint="eastAsia" w:ascii="宋体" w:hAnsi="宋体" w:eastAsia="宋体" w:cs="宋体"/>
                <w:szCs w:val="21"/>
              </w:rPr>
              <w:t>货源、采购渠道不透明，供货保障方案不科学合理，品质监控方案不全面</w:t>
            </w:r>
            <w:r>
              <w:rPr>
                <w:rFonts w:hint="eastAsia" w:ascii="宋体" w:hAnsi="宋体" w:cs="宋体"/>
                <w:szCs w:val="21"/>
                <w:lang w:eastAsia="zh-CN"/>
              </w:rPr>
              <w:t>，</w:t>
            </w:r>
            <w:r>
              <w:rPr>
                <w:rFonts w:hint="eastAsia" w:ascii="宋体" w:hAnsi="宋体" w:eastAsia="宋体" w:cs="宋体"/>
                <w:szCs w:val="21"/>
              </w:rPr>
              <w:t>供货及配送服务日常管理组织制度可操作性不强</w:t>
            </w:r>
            <w:r>
              <w:rPr>
                <w:rFonts w:hint="eastAsia" w:ascii="宋体" w:hAnsi="宋体" w:cs="宋体"/>
                <w:szCs w:val="21"/>
                <w:lang w:eastAsia="zh-CN"/>
              </w:rPr>
              <w:t>，</w:t>
            </w:r>
            <w:r>
              <w:rPr>
                <w:rFonts w:hint="eastAsia" w:asciiTheme="minorEastAsia" w:hAnsiTheme="minorEastAsia" w:eastAsiaTheme="minorEastAsia"/>
                <w:szCs w:val="21"/>
              </w:rPr>
              <w:t>不加分。</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售后服务方案</w:t>
            </w:r>
          </w:p>
        </w:tc>
        <w:tc>
          <w:tcPr>
            <w:tcW w:w="709" w:type="dxa"/>
            <w:vAlign w:val="center"/>
          </w:tcPr>
          <w:p w14:paraId="74E131CA">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10</w:t>
            </w:r>
          </w:p>
        </w:tc>
        <w:tc>
          <w:tcPr>
            <w:tcW w:w="5953" w:type="dxa"/>
            <w:vAlign w:val="center"/>
          </w:tcPr>
          <w:p w14:paraId="3D8AFFE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A95B45E">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eastAsia="宋体"/>
                <w:szCs w:val="21"/>
              </w:rPr>
              <w:t>售后服务方案</w:t>
            </w:r>
            <w:r>
              <w:rPr>
                <w:rFonts w:hint="eastAsia" w:asciiTheme="minorEastAsia" w:hAnsiTheme="minorEastAsia" w:eastAsiaTheme="minorEastAsia"/>
                <w:kern w:val="0"/>
                <w:szCs w:val="21"/>
              </w:rPr>
              <w:t>，包含以下内容：</w:t>
            </w:r>
          </w:p>
          <w:p w14:paraId="0D9877F8">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Theme="minorEastAsia" w:hAnsiTheme="minorEastAsia" w:eastAsiaTheme="minorEastAsia"/>
                <w:kern w:val="0"/>
                <w:szCs w:val="21"/>
                <w:lang w:val="zh-CN"/>
              </w:rPr>
              <w:t>针对所购买商品后的各类售后问题，制订售后服务方案，提出应对措施；</w:t>
            </w:r>
          </w:p>
          <w:p w14:paraId="7E5ED359">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Theme="minorEastAsia" w:hAnsiTheme="minorEastAsia" w:eastAsiaTheme="minorEastAsia"/>
                <w:kern w:val="0"/>
                <w:szCs w:val="21"/>
                <w:lang w:val="zh-CN"/>
              </w:rPr>
              <w:t>售后服务团队配置；</w:t>
            </w:r>
          </w:p>
          <w:p w14:paraId="45D0BC82">
            <w:pPr>
              <w:autoSpaceDE w:val="0"/>
              <w:autoSpaceDN w:val="0"/>
              <w:adjustRightInd w:val="0"/>
              <w:spacing w:line="360" w:lineRule="exact"/>
              <w:rPr>
                <w:rFonts w:hint="eastAsia" w:asciiTheme="minorEastAsia" w:hAnsiTheme="minorEastAsia" w:eastAsiaTheme="minorEastAsia"/>
                <w:kern w:val="0"/>
                <w:szCs w:val="21"/>
                <w:lang w:val="zh-CN"/>
              </w:rPr>
            </w:pPr>
            <w:r>
              <w:rPr>
                <w:rFonts w:hint="eastAsia" w:asciiTheme="minorEastAsia" w:hAnsiTheme="minorEastAsia" w:eastAsiaTheme="minorEastAsia"/>
                <w:kern w:val="0"/>
                <w:szCs w:val="21"/>
              </w:rPr>
              <w:t>3、</w:t>
            </w:r>
            <w:r>
              <w:rPr>
                <w:rFonts w:hint="eastAsia" w:asciiTheme="minorEastAsia" w:hAnsiTheme="minorEastAsia" w:eastAsiaTheme="minorEastAsia"/>
                <w:kern w:val="0"/>
                <w:szCs w:val="21"/>
                <w:lang w:val="zh-CN"/>
              </w:rPr>
              <w:t>售后响应时间；</w:t>
            </w:r>
          </w:p>
          <w:p w14:paraId="4E48B951">
            <w:pPr>
              <w:autoSpaceDE w:val="0"/>
              <w:autoSpaceDN w:val="0"/>
              <w:adjustRightInd w:val="0"/>
              <w:spacing w:line="360" w:lineRule="exact"/>
              <w:rPr>
                <w:rFonts w:hint="eastAsia" w:asciiTheme="minorEastAsia" w:hAnsiTheme="minorEastAsia" w:eastAsiaTheme="minorEastAsia"/>
                <w:b/>
                <w:bCs/>
                <w:kern w:val="0"/>
                <w:szCs w:val="21"/>
                <w:lang w:val="en-US" w:eastAsia="zh-CN"/>
              </w:rPr>
            </w:pPr>
            <w:r>
              <w:rPr>
                <w:rFonts w:hint="eastAsia" w:asciiTheme="minorEastAsia" w:hAnsiTheme="minorEastAsia" w:eastAsiaTheme="minorEastAsia"/>
                <w:kern w:val="0"/>
                <w:szCs w:val="21"/>
                <w:lang w:val="en-US" w:eastAsia="zh-CN"/>
              </w:rPr>
              <w:t>4、</w:t>
            </w:r>
            <w:r>
              <w:rPr>
                <w:rFonts w:hint="eastAsia" w:ascii="宋体" w:hAnsi="宋体" w:eastAsia="宋体"/>
                <w:kern w:val="0"/>
                <w:szCs w:val="21"/>
                <w:lang w:val="zh-CN"/>
              </w:rPr>
              <w:t>售后服务负责人信息及联系方式。</w:t>
            </w:r>
          </w:p>
          <w:p w14:paraId="72074DD3">
            <w:pPr>
              <w:widowControl/>
              <w:snapToGrid w:val="0"/>
              <w:spacing w:line="360" w:lineRule="exact"/>
              <w:jc w:val="left"/>
              <w:rPr>
                <w:rFonts w:hint="eastAsia" w:asciiTheme="minorEastAsia" w:hAnsiTheme="minorEastAsia" w:eastAsiaTheme="minorEastAsia"/>
                <w:kern w:val="0"/>
                <w:szCs w:val="21"/>
              </w:rPr>
            </w:pPr>
          </w:p>
          <w:p w14:paraId="0A886C8A">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4AB37624">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方案包含以上</w:t>
            </w:r>
            <w:r>
              <w:rPr>
                <w:rFonts w:hint="eastAsia" w:asciiTheme="minorEastAsia" w:hAnsiTheme="minorEastAsia" w:eastAsiaTheme="minorEastAsia"/>
                <w:szCs w:val="21"/>
                <w:lang w:val="en-US" w:eastAsia="zh-CN"/>
              </w:rPr>
              <w:t>四</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分；包含以上</w:t>
            </w: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分；包含以上二项内容得2分；包含以上一项内容得1分；其他情况不得分。</w:t>
            </w:r>
          </w:p>
          <w:p w14:paraId="1C298CE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18BD3C0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kern w:val="0"/>
                <w:szCs w:val="21"/>
                <w:lang w:val="zh-CN"/>
              </w:rPr>
              <w:t>售后服务方案及应对措施合理，售后服务团队配置完整，售后响应时间可操作性强，</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w:t>
            </w:r>
          </w:p>
          <w:p w14:paraId="4B4B73E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eastAsia="宋体"/>
                <w:kern w:val="0"/>
                <w:szCs w:val="21"/>
                <w:lang w:val="zh-CN"/>
              </w:rPr>
              <w:t>售后服务方案及应对措施较合理，售后服务团队配置较完整，售后响应时间可操作性较强</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5A854FF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zh-CN"/>
              </w:rPr>
              <w:t>售后服务方案及应对措施基本合理，售后服务团队配置基本完整，售后响应时间可操作性一般</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358B11D3">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zh-CN"/>
              </w:rPr>
              <w:t>售后服务方案及应对措施不合理，售后服务团队配置不完整，售后响应时间可操作性不强</w:t>
            </w:r>
            <w:r>
              <w:rPr>
                <w:rFonts w:hint="eastAsia" w:asciiTheme="minorEastAsia" w:hAnsiTheme="minorEastAsia" w:eastAsiaTheme="minorEastAsia"/>
                <w:szCs w:val="21"/>
              </w:rPr>
              <w:t>，不加分。</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73" w:hRule="atLeast"/>
          <w:jc w:val="center"/>
        </w:trPr>
        <w:tc>
          <w:tcPr>
            <w:tcW w:w="754" w:type="dxa"/>
            <w:vAlign w:val="center"/>
          </w:tcPr>
          <w:p w14:paraId="506E38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应急预案</w:t>
            </w:r>
          </w:p>
        </w:tc>
        <w:tc>
          <w:tcPr>
            <w:tcW w:w="709" w:type="dxa"/>
            <w:vAlign w:val="center"/>
          </w:tcPr>
          <w:p w14:paraId="364828A2">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5953" w:type="dxa"/>
            <w:vAlign w:val="center"/>
          </w:tcPr>
          <w:p w14:paraId="4EEAE5C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92FC055">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宋体" w:hAnsi="宋体" w:eastAsia="宋体" w:cs="宋体"/>
                <w:color w:val="000000"/>
                <w:szCs w:val="21"/>
              </w:rPr>
              <w:t>应急预案</w:t>
            </w:r>
            <w:r>
              <w:rPr>
                <w:rFonts w:hint="eastAsia" w:asciiTheme="minorEastAsia" w:hAnsiTheme="minorEastAsia" w:eastAsiaTheme="minorEastAsia"/>
                <w:kern w:val="0"/>
                <w:szCs w:val="21"/>
              </w:rPr>
              <w:t>，包含以下内容：</w:t>
            </w:r>
          </w:p>
          <w:p w14:paraId="52D87B08">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hint="eastAsia" w:ascii="宋体" w:hAnsi="宋体" w:eastAsia="宋体" w:cs="Arial"/>
                <w:szCs w:val="21"/>
              </w:rPr>
              <w:t>物流配送应急预案；</w:t>
            </w:r>
          </w:p>
          <w:p w14:paraId="2B2501AD">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hint="eastAsia" w:ascii="宋体" w:hAnsi="宋体" w:eastAsia="宋体" w:cs="Arial"/>
                <w:szCs w:val="21"/>
              </w:rPr>
              <w:t>食品安全应急预案。</w:t>
            </w:r>
          </w:p>
          <w:p w14:paraId="37C36A10">
            <w:pPr>
              <w:widowControl/>
              <w:snapToGrid w:val="0"/>
              <w:spacing w:line="360" w:lineRule="exact"/>
              <w:jc w:val="left"/>
              <w:rPr>
                <w:rFonts w:hint="eastAsia" w:asciiTheme="minorEastAsia" w:hAnsiTheme="minorEastAsia" w:eastAsiaTheme="minorEastAsia"/>
                <w:kern w:val="0"/>
                <w:szCs w:val="21"/>
              </w:rPr>
            </w:pPr>
          </w:p>
          <w:p w14:paraId="23BD200E">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32AF6EC2">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方案包含以上二项内容得2分；包含以上一项内容得1分；其他情况不得分。</w:t>
            </w:r>
          </w:p>
          <w:p w14:paraId="79053002">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27FE410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Arial"/>
                <w:szCs w:val="21"/>
              </w:rPr>
              <w:t>物流配送应急预案全面，食品安全应急预案具体</w:t>
            </w:r>
            <w:r>
              <w:rPr>
                <w:rFonts w:hint="eastAsia" w:ascii="宋体" w:hAnsi="宋体" w:cs="Arial"/>
                <w:szCs w:val="21"/>
                <w:lang w:eastAsia="zh-CN"/>
              </w:rPr>
              <w:t>、</w:t>
            </w:r>
            <w:r>
              <w:rPr>
                <w:rFonts w:hint="eastAsia" w:ascii="宋体" w:hAnsi="宋体" w:eastAsia="宋体" w:cs="Arial"/>
                <w:szCs w:val="21"/>
              </w:rPr>
              <w:t>科学合理</w:t>
            </w:r>
            <w:r>
              <w:rPr>
                <w:rFonts w:hint="eastAsia" w:asciiTheme="minorEastAsia" w:hAnsiTheme="minorEastAsia" w:eastAsiaTheme="minorEastAsia"/>
                <w:szCs w:val="21"/>
              </w:rPr>
              <w:t>，加</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分；</w:t>
            </w:r>
          </w:p>
          <w:p w14:paraId="0BB7026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2.物流配送应急预案较全面，食品安全应急预案较具体</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较科学合理，加</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5EF70E9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3.物流配送应急预案基本全面，食品安全应急预案基本具体</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基本科学合理，加</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245AF22E">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4.物流配送应急预案不全面，食品安全应急预案不具体</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不科学合理，不加分。</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62" w:hRule="atLeast"/>
          <w:jc w:val="center"/>
        </w:trPr>
        <w:tc>
          <w:tcPr>
            <w:tcW w:w="754" w:type="dxa"/>
            <w:vAlign w:val="center"/>
          </w:tcPr>
          <w:p w14:paraId="2682548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食品安全保险</w:t>
            </w:r>
          </w:p>
        </w:tc>
        <w:tc>
          <w:tcPr>
            <w:tcW w:w="709" w:type="dxa"/>
            <w:vAlign w:val="center"/>
          </w:tcPr>
          <w:p w14:paraId="7274A6F1">
            <w:pPr>
              <w:widowControl/>
              <w:spacing w:line="360" w:lineRule="exact"/>
              <w:jc w:val="center"/>
              <w:rPr>
                <w:rFonts w:cs="宋体" w:asciiTheme="minorEastAsia" w:hAnsiTheme="minorEastAsia" w:eastAsiaTheme="minorEastAsia"/>
                <w:kern w:val="0"/>
                <w:szCs w:val="21"/>
              </w:rPr>
            </w:pPr>
            <w:r>
              <w:rPr>
                <w:rFonts w:hint="eastAsia" w:ascii="宋体" w:hAnsi="宋体" w:eastAsia="宋体"/>
                <w:szCs w:val="21"/>
              </w:rPr>
              <w:t>10</w:t>
            </w:r>
          </w:p>
        </w:tc>
        <w:tc>
          <w:tcPr>
            <w:tcW w:w="5953" w:type="dxa"/>
            <w:vAlign w:val="center"/>
          </w:tcPr>
          <w:p w14:paraId="54D1E221">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2974945">
            <w:pPr>
              <w:autoSpaceDE w:val="0"/>
              <w:autoSpaceDN w:val="0"/>
              <w:adjustRightInd w:val="0"/>
              <w:spacing w:line="360" w:lineRule="exact"/>
              <w:rPr>
                <w:rFonts w:hint="eastAsia" w:eastAsia="宋体" w:asciiTheme="minorEastAsia" w:hAnsiTheme="minorEastAsia"/>
                <w:szCs w:val="21"/>
                <w:lang w:eastAsia="zh-CN"/>
              </w:rPr>
            </w:pPr>
            <w:r>
              <w:rPr>
                <w:rFonts w:hint="eastAsia" w:ascii="宋体" w:hAnsi="宋体" w:cs="宋体"/>
                <w:color w:val="000000"/>
                <w:szCs w:val="21"/>
                <w:lang w:val="en-US" w:eastAsia="zh-CN"/>
              </w:rPr>
              <w:t>根据</w:t>
            </w:r>
            <w:r>
              <w:rPr>
                <w:rFonts w:hint="eastAsia" w:ascii="宋体" w:hAnsi="宋体" w:eastAsia="宋体" w:cs="宋体"/>
                <w:color w:val="000000"/>
                <w:szCs w:val="21"/>
              </w:rPr>
              <w:t>投标人处于投保有效期内的食品安全保险情况进行评分</w:t>
            </w:r>
            <w:r>
              <w:rPr>
                <w:rFonts w:hint="eastAsia" w:ascii="宋体" w:hAnsi="宋体" w:cs="宋体"/>
                <w:color w:val="000000"/>
                <w:szCs w:val="21"/>
                <w:lang w:eastAsia="zh-CN"/>
              </w:rPr>
              <w:t>：</w:t>
            </w:r>
          </w:p>
          <w:p w14:paraId="7B4C26A7">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1、保险年总保额≥1亿元，得10分；</w:t>
            </w:r>
          </w:p>
          <w:p w14:paraId="42083045">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2、8000万元≤保险年总保额＜1亿元，得7分；</w:t>
            </w:r>
          </w:p>
          <w:p w14:paraId="6F723FAD">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3、5000万元≤保险年总保额＜8000万元，得4分；</w:t>
            </w:r>
          </w:p>
          <w:p w14:paraId="36C089F5">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4、保险年总保额＜5000万元，得1分；</w:t>
            </w:r>
          </w:p>
          <w:p w14:paraId="489B268E">
            <w:pPr>
              <w:autoSpaceDE w:val="0"/>
              <w:autoSpaceDN w:val="0"/>
              <w:adjustRightInd w:val="0"/>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rPr>
              <w:t>5、无有效投保的，不得分。</w:t>
            </w:r>
          </w:p>
          <w:p w14:paraId="67665FD7">
            <w:pPr>
              <w:autoSpaceDE w:val="0"/>
              <w:autoSpaceDN w:val="0"/>
              <w:adjustRightInd w:val="0"/>
              <w:spacing w:line="360" w:lineRule="exact"/>
              <w:rPr>
                <w:rFonts w:hint="eastAsia" w:asciiTheme="minorEastAsia" w:hAnsiTheme="minorEastAsia" w:eastAsiaTheme="minorEastAsia"/>
                <w:szCs w:val="21"/>
              </w:rPr>
            </w:pPr>
          </w:p>
          <w:p w14:paraId="25CA972E">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5BEF6DD2">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1.提供购买的有效期内保险保单和付款发票的复印件（保险的有效期限至少需到2024年12月31日）；</w:t>
            </w:r>
          </w:p>
          <w:p w14:paraId="152031DE">
            <w:pPr>
              <w:autoSpaceDE w:val="0"/>
              <w:autoSpaceDN w:val="0"/>
              <w:adjustRightInd w:val="0"/>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2.投标人如为分公司参与投标，需提供由分公司名义购买的有效期内保险保单和付款发票复印件；若以总公司名义购买保险，需同时提供关联性证明或总公司授权本项目的授权函；</w:t>
            </w:r>
          </w:p>
          <w:p w14:paraId="4ED9DDF1">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hint="eastAsia" w:cs="宋体" w:asciiTheme="minorEastAsia" w:hAnsiTheme="minorEastAsia" w:eastAsiaTheme="minorEastAsia"/>
                <w:szCs w:val="21"/>
                <w:lang w:val="en-US" w:eastAsia="zh-CN"/>
              </w:rPr>
              <w:t>以上材料均需加盖投标人公章，</w:t>
            </w:r>
            <w:r>
              <w:rPr>
                <w:rFonts w:hint="eastAsia" w:cs="宋体" w:asciiTheme="minorEastAsia" w:hAnsiTheme="minorEastAsia" w:eastAsiaTheme="minorEastAsia"/>
                <w:szCs w:val="21"/>
              </w:rPr>
              <w:t>未按要求提供有效证明文件或证明文件不清晰导致专家无法判断的不得分。</w:t>
            </w:r>
          </w:p>
        </w:tc>
        <w:tc>
          <w:tcPr>
            <w:tcW w:w="1187" w:type="dxa"/>
            <w:vAlign w:val="center"/>
          </w:tcPr>
          <w:p w14:paraId="10ADEC3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lang w:val="en-US" w:eastAsia="zh-CN"/>
              </w:rPr>
              <w:t>3</w:t>
            </w:r>
            <w:r>
              <w:rPr>
                <w:rFonts w:hint="eastAsia" w:cs="仿宋" w:asciiTheme="minorEastAsia" w:hAnsiTheme="minorEastAsia" w:eastAsiaTheme="minorEastAsia"/>
                <w:b/>
                <w:szCs w:val="21"/>
                <w:highlight w:val="yellow"/>
              </w:rPr>
              <w:t>5</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7560AD42">
            <w:pPr>
              <w:spacing w:line="360" w:lineRule="exact"/>
              <w:jc w:val="center"/>
              <w:rPr>
                <w:rFonts w:asciiTheme="minorEastAsia" w:hAnsiTheme="minorEastAsia" w:eastAsiaTheme="minorEastAsia"/>
                <w:kern w:val="0"/>
                <w:szCs w:val="21"/>
              </w:rPr>
            </w:pPr>
            <w:r>
              <w:rPr>
                <w:rFonts w:hint="eastAsia" w:ascii="宋体" w:hAnsi="宋体" w:eastAsia="宋体" w:cs="宋体"/>
                <w:szCs w:val="21"/>
              </w:rPr>
              <w:t>投标人通过相关认证情况</w:t>
            </w:r>
          </w:p>
        </w:tc>
        <w:tc>
          <w:tcPr>
            <w:tcW w:w="709" w:type="dxa"/>
            <w:vAlign w:val="center"/>
          </w:tcPr>
          <w:p w14:paraId="57882E34">
            <w:pPr>
              <w:spacing w:line="360" w:lineRule="exact"/>
              <w:jc w:val="center"/>
              <w:rPr>
                <w:rFonts w:asciiTheme="minorEastAsia" w:hAnsiTheme="minorEastAsia" w:eastAsiaTheme="minorEastAsia"/>
                <w:kern w:val="0"/>
                <w:szCs w:val="21"/>
              </w:rPr>
            </w:pPr>
            <w:r>
              <w:rPr>
                <w:rFonts w:hint="eastAsia" w:ascii="宋体" w:hAnsi="宋体" w:eastAsia="宋体" w:cs="宋体"/>
                <w:szCs w:val="21"/>
              </w:rPr>
              <w:t>6</w:t>
            </w:r>
          </w:p>
        </w:tc>
        <w:tc>
          <w:tcPr>
            <w:tcW w:w="5953" w:type="dxa"/>
            <w:vAlign w:val="center"/>
          </w:tcPr>
          <w:p w14:paraId="09FA7CB7">
            <w:pPr>
              <w:pStyle w:val="94"/>
              <w:keepNext w:val="0"/>
              <w:keepLines w:val="0"/>
              <w:pageBreakBefore w:val="0"/>
              <w:widowControl w:val="0"/>
              <w:numPr>
                <w:ilvl w:val="0"/>
                <w:numId w:val="0"/>
              </w:numPr>
              <w:kinsoku/>
              <w:wordWrap/>
              <w:overflowPunct/>
              <w:topLinePunct w:val="0"/>
              <w:bidi w:val="0"/>
              <w:snapToGrid/>
              <w:spacing w:line="360" w:lineRule="exact"/>
              <w:ind w:firstLine="0" w:firstLineChars="0"/>
              <w:textAlignment w:val="auto"/>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（一）</w:t>
            </w:r>
            <w:r>
              <w:rPr>
                <w:rFonts w:hint="eastAsia" w:asciiTheme="minorEastAsia" w:hAnsiTheme="minorEastAsia" w:eastAsiaTheme="minorEastAsia"/>
                <w:szCs w:val="21"/>
              </w:rPr>
              <w:t>评分内容：</w:t>
            </w:r>
          </w:p>
          <w:p w14:paraId="6A926730">
            <w:pPr>
              <w:keepNext w:val="0"/>
              <w:keepLines w:val="0"/>
              <w:pageBreakBefore w:val="0"/>
              <w:widowControl w:val="0"/>
              <w:kinsoku/>
              <w:wordWrap/>
              <w:overflowPunct/>
              <w:topLinePunct w:val="0"/>
              <w:bidi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1、具有有效期内的质量管理体系认证证书，得2分；</w:t>
            </w:r>
          </w:p>
          <w:p w14:paraId="3F595B72">
            <w:pPr>
              <w:keepNext w:val="0"/>
              <w:keepLines w:val="0"/>
              <w:pageBreakBefore w:val="0"/>
              <w:widowControl w:val="0"/>
              <w:kinsoku/>
              <w:wordWrap/>
              <w:overflowPunct/>
              <w:topLinePunct w:val="0"/>
              <w:bidi w:val="0"/>
              <w:snapToGrid/>
              <w:spacing w:line="360" w:lineRule="exact"/>
              <w:jc w:val="left"/>
              <w:textAlignment w:val="auto"/>
              <w:rPr>
                <w:rFonts w:hint="eastAsia" w:ascii="宋体" w:hAnsi="宋体" w:eastAsia="宋体" w:cs="宋体"/>
                <w:szCs w:val="21"/>
              </w:rPr>
            </w:pPr>
            <w:r>
              <w:rPr>
                <w:rFonts w:hint="eastAsia" w:ascii="宋体" w:hAnsi="宋体" w:eastAsia="宋体" w:cs="宋体"/>
                <w:szCs w:val="21"/>
              </w:rPr>
              <w:t>2、具有有效期内的食品安全管理体系认证证书，得2分；</w:t>
            </w:r>
          </w:p>
          <w:p w14:paraId="4817B60C">
            <w:pPr>
              <w:pStyle w:val="94"/>
              <w:keepNext w:val="0"/>
              <w:keepLines w:val="0"/>
              <w:pageBreakBefore w:val="0"/>
              <w:widowControl w:val="0"/>
              <w:numPr>
                <w:ilvl w:val="0"/>
                <w:numId w:val="0"/>
              </w:numPr>
              <w:kinsoku/>
              <w:wordWrap/>
              <w:overflowPunct/>
              <w:topLinePunct w:val="0"/>
              <w:bidi w:val="0"/>
              <w:snapToGrid/>
              <w:spacing w:line="360" w:lineRule="exact"/>
              <w:textAlignment w:val="auto"/>
              <w:rPr>
                <w:rFonts w:hint="eastAsia" w:eastAsia="宋体" w:asciiTheme="minorEastAsia" w:hAnsiTheme="minorEastAsia"/>
                <w:szCs w:val="21"/>
                <w:lang w:eastAsia="zh-CN"/>
              </w:rPr>
            </w:pPr>
            <w:r>
              <w:rPr>
                <w:rFonts w:hint="eastAsia" w:ascii="宋体" w:hAnsi="宋体" w:eastAsia="宋体" w:cs="宋体"/>
                <w:szCs w:val="21"/>
              </w:rPr>
              <w:t>3、具有有效期内的供应链安全管理体系认证证书，得2分</w:t>
            </w:r>
            <w:r>
              <w:rPr>
                <w:rFonts w:hint="eastAsia" w:ascii="宋体" w:hAnsi="宋体" w:cs="宋体"/>
                <w:szCs w:val="21"/>
                <w:lang w:eastAsia="zh-CN"/>
              </w:rPr>
              <w:t>。</w:t>
            </w:r>
          </w:p>
          <w:p w14:paraId="547C28C7">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kern w:val="0"/>
                <w:szCs w:val="21"/>
              </w:rPr>
            </w:pPr>
            <w:r>
              <w:rPr>
                <w:rFonts w:hint="eastAsia" w:ascii="宋体" w:hAnsi="宋体" w:eastAsia="宋体" w:cs="宋体"/>
                <w:szCs w:val="21"/>
              </w:rPr>
              <w:t>以上累计计分最高得6分。</w:t>
            </w:r>
          </w:p>
          <w:p w14:paraId="181A581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kern w:val="0"/>
                <w:szCs w:val="21"/>
              </w:rPr>
            </w:pPr>
          </w:p>
          <w:p w14:paraId="0E0FEFCD">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5A01526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1. 提供有效认证证书（如认证证书注明年审要求的，必须按规定年审且证书在有效期内的方为有效；如未注明年审要求的，证书必须在有效期内的方为有效）；</w:t>
            </w:r>
          </w:p>
          <w:p w14:paraId="5BAF6E42">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Theme="minorEastAsia" w:hAnsiTheme="minorEastAsia" w:eastAsiaTheme="minorEastAsia"/>
                <w:kern w:val="0"/>
                <w:szCs w:val="21"/>
                <w:lang w:val="zh-CN"/>
              </w:rPr>
            </w:pPr>
            <w:r>
              <w:rPr>
                <w:rFonts w:hint="eastAsia" w:asciiTheme="minorEastAsia" w:hAnsiTheme="minorEastAsia" w:eastAsiaTheme="minorEastAsia"/>
                <w:kern w:val="0"/>
                <w:szCs w:val="21"/>
              </w:rPr>
              <w:t>2. 提供证书官网或权威机构【如：全国认证认可信息公共服务平台（cx.cnca.cn）】认证信息查询截图（截图需显示证书状态为有效）。</w:t>
            </w:r>
            <w:r>
              <w:rPr>
                <w:rFonts w:hint="eastAsia" w:asciiTheme="minorEastAsia" w:hAnsiTheme="minorEastAsia" w:eastAsiaTheme="minorEastAsia"/>
                <w:kern w:val="0"/>
                <w:szCs w:val="21"/>
                <w:lang w:val="zh-CN"/>
              </w:rPr>
              <w:t>相关证书在公开渠道无法查询的，投标人需提供颁发部门或者监管机构的证明材料，证明证书真实有效且为合法机构颁发；</w:t>
            </w:r>
          </w:p>
          <w:p w14:paraId="582F340C">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3. 如证书由行业协会颁发，需提供该行业协会在“中国社会组织政务服务平台”（网址：</w:t>
            </w:r>
            <w:r>
              <w:rPr>
                <w:rFonts w:asciiTheme="minorEastAsia" w:hAnsiTheme="minorEastAsia" w:eastAsiaTheme="minorEastAsia"/>
                <w:kern w:val="0"/>
                <w:szCs w:val="21"/>
              </w:rPr>
              <w:t>https://chinanpo.mca.gov.cn/</w:t>
            </w:r>
            <w:r>
              <w:rPr>
                <w:rFonts w:hint="eastAsia" w:asciiTheme="minorEastAsia" w:hAnsiTheme="minorEastAsia" w:eastAsiaTheme="minorEastAsia"/>
                <w:kern w:val="0"/>
                <w:szCs w:val="21"/>
              </w:rPr>
              <w:t>）查询的已合法登记且状态正常截图，否则不予认可，视为无效证书；</w:t>
            </w:r>
          </w:p>
          <w:p w14:paraId="1659836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kern w:val="0"/>
                <w:szCs w:val="21"/>
                <w:lang w:val="zh-CN"/>
              </w:rPr>
            </w:pPr>
            <w:r>
              <w:rPr>
                <w:rFonts w:hint="eastAsia" w:asciiTheme="minorEastAsia" w:hAnsiTheme="minorEastAsia" w:eastAsiaTheme="minorEastAsia"/>
                <w:kern w:val="0"/>
                <w:szCs w:val="21"/>
              </w:rPr>
              <w:t xml:space="preserve">4. </w:t>
            </w:r>
            <w:r>
              <w:rPr>
                <w:rFonts w:hint="eastAsia" w:asciiTheme="minorEastAsia" w:hAnsiTheme="minorEastAsia" w:eastAsiaTheme="minorEastAsia"/>
                <w:kern w:val="0"/>
                <w:szCs w:val="21"/>
                <w:lang w:eastAsia="zh-CN"/>
              </w:rPr>
              <w:t>如</w:t>
            </w:r>
            <w:r>
              <w:rPr>
                <w:rFonts w:hint="eastAsia" w:asciiTheme="minorEastAsia" w:hAnsiTheme="minorEastAsia" w:eastAsiaTheme="minorEastAsia"/>
                <w:kern w:val="0"/>
                <w:szCs w:val="21"/>
                <w:lang w:val="zh-CN"/>
              </w:rPr>
              <w:t>投标人成立时间不足三个月，可提供情况说明作为佐证材料，无需提供证书和</w:t>
            </w:r>
            <w:r>
              <w:rPr>
                <w:rFonts w:hint="eastAsia" w:asciiTheme="minorEastAsia" w:hAnsiTheme="minorEastAsia" w:eastAsiaTheme="minorEastAsia"/>
                <w:kern w:val="0"/>
                <w:szCs w:val="21"/>
              </w:rPr>
              <w:t>认证信息查询截图</w:t>
            </w:r>
            <w:r>
              <w:rPr>
                <w:rFonts w:hint="eastAsia" w:asciiTheme="minorEastAsia" w:hAnsiTheme="minorEastAsia" w:eastAsiaTheme="minorEastAsia"/>
                <w:kern w:val="0"/>
                <w:szCs w:val="21"/>
                <w:lang w:val="zh-CN"/>
              </w:rPr>
              <w:t>亦视为满足评分要求；</w:t>
            </w:r>
          </w:p>
          <w:p w14:paraId="4EDB7DF1">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 xml:space="preserve">5. </w:t>
            </w:r>
            <w:r>
              <w:rPr>
                <w:rFonts w:hint="eastAsia" w:asciiTheme="minorEastAsia" w:hAnsiTheme="minorEastAsia" w:eastAsiaTheme="minorEastAsia"/>
                <w:kern w:val="0"/>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asciiTheme="minorEastAsia" w:hAnsiTheme="minorEastAsia" w:eastAsiaTheme="minorEastAsia"/>
                <w:kern w:val="0"/>
                <w:szCs w:val="21"/>
                <w:lang w:val="zh-CN"/>
              </w:rPr>
              <w:t>。</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EC82DDA">
            <w:pPr>
              <w:adjustRightInd w:val="0"/>
              <w:snapToGrid w:val="0"/>
              <w:spacing w:line="360" w:lineRule="exact"/>
              <w:jc w:val="center"/>
              <w:rPr>
                <w:rFonts w:asciiTheme="minorEastAsia" w:hAnsiTheme="minorEastAsia" w:eastAsiaTheme="minorEastAsia"/>
                <w:snapToGrid w:val="0"/>
                <w:kern w:val="0"/>
                <w:szCs w:val="21"/>
              </w:rPr>
            </w:pPr>
            <w:r>
              <w:rPr>
                <w:rFonts w:hint="eastAsia" w:ascii="宋体" w:hAnsi="宋体" w:eastAsia="宋体" w:cs="宋体"/>
                <w:szCs w:val="21"/>
              </w:rPr>
              <w:t>同类业绩</w:t>
            </w:r>
          </w:p>
        </w:tc>
        <w:tc>
          <w:tcPr>
            <w:tcW w:w="709" w:type="dxa"/>
            <w:vAlign w:val="center"/>
          </w:tcPr>
          <w:p w14:paraId="49BF8994">
            <w:pPr>
              <w:adjustRightInd w:val="0"/>
              <w:snapToGrid w:val="0"/>
              <w:spacing w:line="360" w:lineRule="exact"/>
              <w:jc w:val="center"/>
              <w:rPr>
                <w:rFonts w:hint="eastAsia" w:asciiTheme="minorEastAsia" w:hAnsiTheme="minorEastAsia" w:eastAsiaTheme="minorEastAsia"/>
                <w:snapToGrid w:val="0"/>
                <w:kern w:val="0"/>
                <w:szCs w:val="21"/>
                <w:lang w:eastAsia="zh-CN"/>
              </w:rPr>
            </w:pPr>
            <w:r>
              <w:rPr>
                <w:rFonts w:hint="eastAsia" w:asciiTheme="minorEastAsia" w:hAnsiTheme="minorEastAsia" w:eastAsiaTheme="minorEastAsia"/>
                <w:snapToGrid w:val="0"/>
                <w:kern w:val="0"/>
                <w:szCs w:val="21"/>
              </w:rPr>
              <w:t>1</w:t>
            </w:r>
            <w:r>
              <w:rPr>
                <w:rFonts w:hint="eastAsia" w:asciiTheme="minorEastAsia" w:hAnsiTheme="minorEastAsia" w:eastAsiaTheme="minorEastAsia"/>
                <w:snapToGrid w:val="0"/>
                <w:kern w:val="0"/>
                <w:szCs w:val="21"/>
                <w:lang w:val="en-US" w:eastAsia="zh-CN"/>
              </w:rPr>
              <w:t>0</w:t>
            </w:r>
          </w:p>
        </w:tc>
        <w:tc>
          <w:tcPr>
            <w:tcW w:w="5953" w:type="dxa"/>
            <w:vAlign w:val="center"/>
          </w:tcPr>
          <w:p w14:paraId="19DD340A">
            <w:pPr>
              <w:pStyle w:val="94"/>
              <w:keepNext w:val="0"/>
              <w:keepLines w:val="0"/>
              <w:pageBreakBefore w:val="0"/>
              <w:widowControl w:val="0"/>
              <w:kinsoku/>
              <w:wordWrap/>
              <w:overflowPunct/>
              <w:topLinePunct w:val="0"/>
              <w:bidi w:val="0"/>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（一）评分内容：</w:t>
            </w:r>
          </w:p>
          <w:p w14:paraId="58DFDFB6">
            <w:pPr>
              <w:keepNext w:val="0"/>
              <w:keepLines w:val="0"/>
              <w:pageBreakBefore w:val="0"/>
              <w:widowControl w:val="0"/>
              <w:kinsoku/>
              <w:wordWrap/>
              <w:overflowPunct/>
              <w:topLinePunct w:val="0"/>
              <w:bidi w:val="0"/>
              <w:adjustRightInd w:val="0"/>
              <w:snapToGrid w:val="0"/>
              <w:spacing w:line="360" w:lineRule="exact"/>
              <w:textAlignment w:val="auto"/>
              <w:rPr>
                <w:rFonts w:cs="宋体" w:asciiTheme="minorEastAsia" w:hAnsiTheme="minorEastAsia" w:eastAsiaTheme="minorEastAsia"/>
                <w:szCs w:val="21"/>
              </w:rPr>
            </w:pPr>
            <w:r>
              <w:rPr>
                <w:rFonts w:hint="eastAsia" w:ascii="宋体" w:hAnsi="宋体" w:eastAsia="宋体" w:cs="宋体"/>
                <w:szCs w:val="21"/>
              </w:rPr>
              <w:t>自2020年1月1日至本项目投标截止之日（以合同签订时间为准），投标人每提供一个同类项目业绩得2分，最高得10分。</w:t>
            </w:r>
          </w:p>
          <w:p w14:paraId="4698053A">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default"/>
                <w:lang w:val="en-US" w:eastAsia="zh-CN"/>
              </w:rPr>
            </w:pPr>
            <w:r>
              <w:rPr>
                <w:rFonts w:hint="eastAsia" w:asciiTheme="minorEastAsia" w:hAnsiTheme="minorEastAsia" w:eastAsiaTheme="minorEastAsia"/>
                <w:kern w:val="0"/>
                <w:szCs w:val="21"/>
                <w:lang w:val="en-US" w:eastAsia="zh-CN"/>
              </w:rPr>
              <w:t>注：同一项目续签合同的不可重复得分。</w:t>
            </w:r>
          </w:p>
          <w:p w14:paraId="4F8B107A">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eastAsia" w:asciiTheme="minorEastAsia" w:hAnsiTheme="minorEastAsia" w:eastAsiaTheme="minorEastAsia"/>
                <w:kern w:val="0"/>
                <w:szCs w:val="21"/>
              </w:rPr>
            </w:pPr>
          </w:p>
          <w:p w14:paraId="77CBDDE1">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4103234">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szCs w:val="21"/>
                <w:lang w:eastAsia="zh-CN"/>
              </w:rPr>
            </w:pPr>
            <w:r>
              <w:rPr>
                <w:rFonts w:hint="eastAsia" w:ascii="宋体" w:hAnsi="宋体" w:eastAsia="宋体" w:cs="宋体"/>
                <w:szCs w:val="21"/>
              </w:rPr>
              <w:t>1.提供项目合同</w:t>
            </w:r>
            <w:r>
              <w:rPr>
                <w:rFonts w:hint="eastAsia" w:ascii="宋体" w:hAnsi="宋体" w:cs="宋体"/>
                <w:szCs w:val="21"/>
                <w:lang w:val="en-US" w:eastAsia="zh-CN"/>
              </w:rPr>
              <w:t>或协议</w:t>
            </w:r>
            <w:r>
              <w:rPr>
                <w:rFonts w:hint="eastAsia" w:ascii="宋体" w:hAnsi="宋体" w:eastAsia="宋体" w:cs="宋体"/>
                <w:szCs w:val="21"/>
              </w:rPr>
              <w:t>关键页（包括但不限于合同</w:t>
            </w:r>
            <w:r>
              <w:rPr>
                <w:rFonts w:hint="eastAsia" w:ascii="宋体" w:hAnsi="宋体" w:cs="宋体"/>
                <w:szCs w:val="21"/>
                <w:lang w:val="en-US" w:eastAsia="zh-CN"/>
              </w:rPr>
              <w:t>或协议</w:t>
            </w:r>
            <w:r>
              <w:rPr>
                <w:rFonts w:hint="eastAsia" w:ascii="宋体" w:hAnsi="宋体" w:eastAsia="宋体" w:cs="宋体"/>
                <w:szCs w:val="21"/>
              </w:rPr>
              <w:t>封面页、关键服务内容页、合同</w:t>
            </w:r>
            <w:r>
              <w:rPr>
                <w:rFonts w:hint="eastAsia" w:ascii="宋体" w:hAnsi="宋体" w:cs="宋体"/>
                <w:szCs w:val="21"/>
                <w:lang w:val="en-US" w:eastAsia="zh-CN"/>
              </w:rPr>
              <w:t>或协议</w:t>
            </w:r>
            <w:r>
              <w:rPr>
                <w:rFonts w:hint="eastAsia" w:ascii="宋体" w:hAnsi="宋体" w:eastAsia="宋体" w:cs="宋体"/>
                <w:szCs w:val="21"/>
              </w:rPr>
              <w:t>签字盖章页）复印件并加盖投标人公章作为评分依据，通过合同</w:t>
            </w:r>
            <w:r>
              <w:rPr>
                <w:rFonts w:hint="eastAsia" w:ascii="宋体" w:hAnsi="宋体" w:cs="宋体"/>
                <w:szCs w:val="21"/>
                <w:lang w:val="en-US" w:eastAsia="zh-CN"/>
              </w:rPr>
              <w:t>或协议</w:t>
            </w:r>
            <w:r>
              <w:rPr>
                <w:rFonts w:hint="eastAsia" w:ascii="宋体" w:hAnsi="宋体" w:eastAsia="宋体" w:cs="宋体"/>
                <w:szCs w:val="21"/>
              </w:rPr>
              <w:t>关键页无法判断是否得分的，还需同时提供能证明得分的其它证明资料，如项目报告或合同采购人出具的证明文件等</w:t>
            </w:r>
            <w:r>
              <w:rPr>
                <w:rFonts w:hint="eastAsia" w:ascii="宋体" w:hAnsi="宋体" w:cs="宋体"/>
                <w:szCs w:val="21"/>
                <w:lang w:eastAsia="zh-CN"/>
              </w:rPr>
              <w:t>；</w:t>
            </w:r>
          </w:p>
          <w:p w14:paraId="6AB9E457">
            <w:pPr>
              <w:keepNext w:val="0"/>
              <w:keepLines w:val="0"/>
              <w:pageBreakBefore w:val="0"/>
              <w:widowControl w:val="0"/>
              <w:kinsoku/>
              <w:wordWrap/>
              <w:overflowPunct/>
              <w:topLinePunct w:val="0"/>
              <w:bidi w:val="0"/>
              <w:adjustRightInd w:val="0"/>
              <w:snapToGrid w:val="0"/>
              <w:spacing w:line="360" w:lineRule="exact"/>
              <w:textAlignment w:val="auto"/>
              <w:rPr>
                <w:rFonts w:asciiTheme="minorEastAsia" w:hAnsiTheme="minorEastAsia" w:eastAsiaTheme="minorEastAsia"/>
                <w:b/>
                <w:bCs/>
                <w:kern w:val="0"/>
                <w:szCs w:val="21"/>
              </w:rPr>
            </w:pPr>
            <w:r>
              <w:rPr>
                <w:rFonts w:hint="eastAsia" w:ascii="宋体" w:hAnsi="宋体" w:cs="宋体"/>
                <w:szCs w:val="21"/>
                <w:lang w:val="en-US" w:eastAsia="zh-CN"/>
              </w:rPr>
              <w:t>2</w:t>
            </w:r>
            <w:r>
              <w:rPr>
                <w:rFonts w:hint="eastAsia" w:ascii="宋体" w:hAnsi="宋体" w:eastAsia="宋体" w:cs="宋体"/>
                <w:szCs w:val="21"/>
              </w:rPr>
              <w:t>.未提供或未按要求提供或提供的</w:t>
            </w:r>
            <w:r>
              <w:rPr>
                <w:rFonts w:hint="eastAsia" w:ascii="宋体" w:hAnsi="宋体" w:cs="宋体"/>
                <w:szCs w:val="21"/>
                <w:lang w:val="en-US" w:eastAsia="zh-CN"/>
              </w:rPr>
              <w:t>材料</w:t>
            </w:r>
            <w:r>
              <w:rPr>
                <w:rFonts w:hint="eastAsia" w:ascii="宋体" w:hAnsi="宋体" w:eastAsia="宋体" w:cs="宋体"/>
                <w:szCs w:val="21"/>
              </w:rPr>
              <w:t>不清晰导致专家无法判断的，不得分。</w:t>
            </w:r>
          </w:p>
        </w:tc>
        <w:tc>
          <w:tcPr>
            <w:tcW w:w="1187" w:type="dxa"/>
            <w:vAlign w:val="center"/>
          </w:tcPr>
          <w:p w14:paraId="40CB9D4A">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5" w:hRule="atLeast"/>
          <w:jc w:val="center"/>
        </w:trPr>
        <w:tc>
          <w:tcPr>
            <w:tcW w:w="754" w:type="dxa"/>
            <w:vAlign w:val="center"/>
          </w:tcPr>
          <w:p w14:paraId="6A173027">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2AA58873">
            <w:pPr>
              <w:spacing w:line="360" w:lineRule="auto"/>
              <w:jc w:val="center"/>
              <w:rPr>
                <w:rFonts w:cs="仿宋" w:asciiTheme="minorEastAsia" w:hAnsiTheme="minorEastAsia" w:eastAsiaTheme="minorEastAsia"/>
                <w:szCs w:val="21"/>
              </w:rPr>
            </w:pPr>
            <w:r>
              <w:rPr>
                <w:rFonts w:hint="eastAsia" w:ascii="宋体" w:hAnsi="宋体" w:eastAsia="宋体" w:cs="宋体"/>
                <w:szCs w:val="21"/>
              </w:rPr>
              <w:t>履约评价</w:t>
            </w:r>
          </w:p>
        </w:tc>
        <w:tc>
          <w:tcPr>
            <w:tcW w:w="709" w:type="dxa"/>
            <w:vAlign w:val="center"/>
          </w:tcPr>
          <w:p w14:paraId="03D227DE">
            <w:pPr>
              <w:spacing w:line="360" w:lineRule="auto"/>
              <w:jc w:val="center"/>
              <w:rPr>
                <w:rFonts w:cs="仿宋" w:asciiTheme="minorEastAsia" w:hAnsiTheme="minorEastAsia" w:eastAsiaTheme="minorEastAsia"/>
                <w:szCs w:val="21"/>
              </w:rPr>
            </w:pPr>
            <w:r>
              <w:rPr>
                <w:rFonts w:hint="eastAsia" w:ascii="宋体" w:hAnsi="宋体" w:eastAsia="宋体" w:cs="宋体"/>
                <w:szCs w:val="21"/>
              </w:rPr>
              <w:t>10</w:t>
            </w:r>
          </w:p>
        </w:tc>
        <w:tc>
          <w:tcPr>
            <w:tcW w:w="5953" w:type="dxa"/>
            <w:vAlign w:val="top"/>
          </w:tcPr>
          <w:p w14:paraId="4CFA4C62">
            <w:pPr>
              <w:pStyle w:val="94"/>
              <w:keepNext w:val="0"/>
              <w:keepLines w:val="0"/>
              <w:pageBreakBefore w:val="0"/>
              <w:widowControl w:val="0"/>
              <w:kinsoku/>
              <w:wordWrap/>
              <w:overflowPunct/>
              <w:topLinePunct w:val="0"/>
              <w:bidi w:val="0"/>
              <w:spacing w:line="360" w:lineRule="exact"/>
              <w:ind w:firstLine="0" w:firstLineChars="0"/>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（一）评分内容：</w:t>
            </w:r>
          </w:p>
          <w:p w14:paraId="491ACB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在“同类业绩”中认定为有效的业绩，其履约考核评价为优或满意或同等评价的，每提供1项得2分，满分10分（续签合同不重复计算）。</w:t>
            </w:r>
          </w:p>
          <w:p w14:paraId="099631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Times New Roman" w:asciiTheme="minorEastAsia" w:hAnsiTheme="minorEastAsia" w:eastAsiaTheme="minorEastAsia"/>
                <w:kern w:val="2"/>
                <w:sz w:val="21"/>
                <w:szCs w:val="21"/>
                <w:lang w:val="en-US" w:eastAsia="zh-CN" w:bidi="ar-SA"/>
              </w:rPr>
            </w:pPr>
          </w:p>
          <w:p w14:paraId="122E3C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（二）评分依据：</w:t>
            </w:r>
          </w:p>
          <w:p w14:paraId="5A3C5B6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须提供以上项目盖有用户单位公章或业务章的履约评价证明文件复印件，加盖投标人公章，不提供不得分。</w:t>
            </w:r>
          </w:p>
        </w:tc>
        <w:tc>
          <w:tcPr>
            <w:tcW w:w="1187" w:type="dxa"/>
            <w:vAlign w:val="center"/>
          </w:tcPr>
          <w:p w14:paraId="00F3178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A40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3" w:hRule="atLeast"/>
          <w:jc w:val="center"/>
        </w:trPr>
        <w:tc>
          <w:tcPr>
            <w:tcW w:w="754" w:type="dxa"/>
            <w:vAlign w:val="center"/>
          </w:tcPr>
          <w:p w14:paraId="2B6E460F">
            <w:pPr>
              <w:autoSpaceDE w:val="0"/>
              <w:autoSpaceDN w:val="0"/>
              <w:adjustRightInd w:val="0"/>
              <w:spacing w:line="360" w:lineRule="exact"/>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4</w:t>
            </w:r>
          </w:p>
        </w:tc>
        <w:tc>
          <w:tcPr>
            <w:tcW w:w="1143" w:type="dxa"/>
            <w:vAlign w:val="center"/>
          </w:tcPr>
          <w:p w14:paraId="2F9C21F1">
            <w:pPr>
              <w:spacing w:line="360" w:lineRule="auto"/>
              <w:jc w:val="center"/>
              <w:rPr>
                <w:rFonts w:hint="eastAsia" w:cs="仿宋" w:asciiTheme="minorEastAsia" w:hAnsiTheme="minorEastAsia" w:eastAsiaTheme="minorEastAsia"/>
                <w:szCs w:val="21"/>
              </w:rPr>
            </w:pPr>
            <w:r>
              <w:rPr>
                <w:rFonts w:hint="eastAsia" w:ascii="宋体" w:hAnsi="宋体" w:eastAsia="宋体" w:cs="宋体"/>
                <w:szCs w:val="21"/>
              </w:rPr>
              <w:t>服务便捷性</w:t>
            </w:r>
          </w:p>
        </w:tc>
        <w:tc>
          <w:tcPr>
            <w:tcW w:w="709" w:type="dxa"/>
            <w:vAlign w:val="center"/>
          </w:tcPr>
          <w:p w14:paraId="4EF3B4E7">
            <w:pPr>
              <w:spacing w:line="360" w:lineRule="auto"/>
              <w:jc w:val="center"/>
              <w:rPr>
                <w:rFonts w:hint="eastAsia" w:cs="仿宋" w:asciiTheme="minorEastAsia" w:hAnsiTheme="minorEastAsia" w:eastAsiaTheme="minorEastAsia"/>
                <w:szCs w:val="21"/>
              </w:rPr>
            </w:pPr>
            <w:r>
              <w:rPr>
                <w:rFonts w:hint="eastAsia" w:ascii="宋体" w:hAnsi="宋体" w:eastAsia="宋体" w:cs="宋体"/>
                <w:szCs w:val="21"/>
              </w:rPr>
              <w:t>4</w:t>
            </w:r>
          </w:p>
        </w:tc>
        <w:tc>
          <w:tcPr>
            <w:tcW w:w="5953" w:type="dxa"/>
            <w:vAlign w:val="top"/>
          </w:tcPr>
          <w:p w14:paraId="01867D6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一</w:t>
            </w:r>
            <w:r>
              <w:rPr>
                <w:rFonts w:hint="eastAsia" w:ascii="宋体" w:hAnsi="宋体" w:cs="宋体"/>
                <w:bCs/>
                <w:szCs w:val="21"/>
                <w:lang w:eastAsia="zh-CN"/>
              </w:rPr>
              <w:t>）</w:t>
            </w:r>
            <w:r>
              <w:rPr>
                <w:rFonts w:hint="eastAsia" w:ascii="宋体" w:hAnsi="宋体" w:cs="宋体"/>
                <w:bCs/>
                <w:szCs w:val="21"/>
                <w:lang w:val="en-US" w:eastAsia="zh-CN"/>
              </w:rPr>
              <w:t>评分内容：</w:t>
            </w:r>
          </w:p>
          <w:p w14:paraId="23522D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Cs w:val="21"/>
              </w:rPr>
            </w:pPr>
            <w:r>
              <w:rPr>
                <w:rFonts w:hint="eastAsia" w:ascii="宋体" w:hAnsi="宋体" w:eastAsia="宋体" w:cs="宋体"/>
                <w:bCs/>
                <w:szCs w:val="21"/>
              </w:rPr>
              <w:t>投标人需提供选取货物相关软件或小程序图标及</w:t>
            </w:r>
            <w:r>
              <w:rPr>
                <w:rFonts w:hint="eastAsia" w:ascii="宋体" w:hAnsi="宋体" w:cs="宋体"/>
                <w:bCs/>
                <w:szCs w:val="21"/>
                <w:lang w:val="en-US" w:eastAsia="zh-CN"/>
              </w:rPr>
              <w:t>功能</w:t>
            </w:r>
            <w:r>
              <w:rPr>
                <w:rFonts w:hint="eastAsia" w:ascii="宋体" w:hAnsi="宋体" w:eastAsia="宋体" w:cs="宋体"/>
                <w:bCs/>
                <w:szCs w:val="21"/>
              </w:rPr>
              <w:t>页面截图，满足以下要求的得分：</w:t>
            </w:r>
          </w:p>
          <w:p w14:paraId="703CB8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Cs w:val="21"/>
              </w:rPr>
            </w:pPr>
            <w:r>
              <w:rPr>
                <w:rFonts w:hint="eastAsia" w:ascii="宋体" w:hAnsi="宋体" w:eastAsia="宋体" w:cs="宋体"/>
                <w:bCs/>
                <w:szCs w:val="21"/>
              </w:rPr>
              <w:t>1.展示的货物选购软件或程序页面明确且客户能直接选择或关键词搜索商品的，得2分；</w:t>
            </w:r>
          </w:p>
          <w:p w14:paraId="7BB13D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szCs w:val="21"/>
              </w:rPr>
            </w:pPr>
            <w:r>
              <w:rPr>
                <w:rFonts w:hint="eastAsia" w:ascii="宋体" w:hAnsi="宋体" w:cs="宋体"/>
                <w:bCs/>
                <w:szCs w:val="21"/>
                <w:lang w:val="en-US" w:eastAsia="zh-CN"/>
              </w:rPr>
              <w:t>2</w:t>
            </w:r>
            <w:r>
              <w:rPr>
                <w:rFonts w:hint="eastAsia" w:ascii="宋体" w:hAnsi="宋体" w:eastAsia="宋体" w:cs="宋体"/>
                <w:bCs/>
                <w:szCs w:val="21"/>
              </w:rPr>
              <w:t>.展示的货物选购软件或程序付款页面清晰且支持多种付款方式的，得</w:t>
            </w:r>
            <w:r>
              <w:rPr>
                <w:rFonts w:hint="eastAsia" w:ascii="宋体" w:hAnsi="宋体" w:cs="宋体"/>
                <w:bCs/>
                <w:szCs w:val="21"/>
                <w:lang w:val="en-US" w:eastAsia="zh-CN"/>
              </w:rPr>
              <w:t>2</w:t>
            </w:r>
            <w:r>
              <w:rPr>
                <w:rFonts w:hint="eastAsia" w:ascii="宋体" w:hAnsi="宋体" w:eastAsia="宋体" w:cs="宋体"/>
                <w:bCs/>
                <w:szCs w:val="21"/>
              </w:rPr>
              <w:t>分。</w:t>
            </w:r>
          </w:p>
          <w:p w14:paraId="3D1F13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Times New Roman" w:asciiTheme="minorEastAsia" w:hAnsiTheme="minorEastAsia" w:eastAsiaTheme="minorEastAsia"/>
                <w:kern w:val="2"/>
                <w:sz w:val="21"/>
                <w:szCs w:val="21"/>
                <w:lang w:val="en-US" w:eastAsia="zh-CN" w:bidi="ar-SA"/>
              </w:rPr>
            </w:pPr>
          </w:p>
          <w:p w14:paraId="38C1DB9E">
            <w:pPr>
              <w:numPr>
                <w:ilvl w:val="0"/>
                <w:numId w:val="8"/>
              </w:numPr>
              <w:bidi w:val="0"/>
              <w:ind w:left="0" w:leftChars="0" w:firstLine="0" w:firstLineChars="0"/>
              <w:jc w:val="left"/>
              <w:rPr>
                <w:rFonts w:hint="default"/>
                <w:lang w:val="en-US" w:eastAsia="zh-CN"/>
              </w:rPr>
            </w:pPr>
            <w:r>
              <w:rPr>
                <w:rFonts w:hint="eastAsia" w:cs="Times New Roman"/>
                <w:kern w:val="2"/>
                <w:sz w:val="21"/>
                <w:szCs w:val="24"/>
                <w:lang w:val="en-US" w:eastAsia="zh-CN" w:bidi="ar-SA"/>
              </w:rPr>
              <w:t>评分依据：</w:t>
            </w:r>
          </w:p>
          <w:p w14:paraId="0433BE03">
            <w:pPr>
              <w:bidi w:val="0"/>
              <w:jc w:val="left"/>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kern w:val="0"/>
                <w:szCs w:val="21"/>
              </w:rPr>
              <w:t>提供以上证明</w:t>
            </w:r>
            <w:r>
              <w:rPr>
                <w:rFonts w:hint="eastAsia" w:asciiTheme="minorEastAsia" w:hAnsiTheme="minorEastAsia" w:eastAsiaTheme="minorEastAsia"/>
                <w:kern w:val="0"/>
                <w:szCs w:val="21"/>
                <w:lang w:val="en-US" w:eastAsia="zh-CN"/>
              </w:rPr>
              <w:t>材料</w:t>
            </w:r>
            <w:r>
              <w:rPr>
                <w:rFonts w:hint="eastAsia" w:asciiTheme="minorEastAsia" w:hAnsiTheme="minorEastAsia" w:eastAsiaTheme="minorEastAsia"/>
                <w:kern w:val="0"/>
                <w:szCs w:val="21"/>
              </w:rPr>
              <w:t>复印件或扫描件，如涉及网站截图或照片等证明材料,需提供清晰图片,均要求加盖投标人公章。未按要求提供有效证明材料或提供不清晰导致评委无法识别的不计得分</w:t>
            </w:r>
            <w:r>
              <w:rPr>
                <w:rFonts w:hint="eastAsia" w:asciiTheme="minorEastAsia" w:hAnsiTheme="minorEastAsia" w:eastAsiaTheme="minorEastAsia"/>
                <w:kern w:val="0"/>
                <w:szCs w:val="21"/>
                <w:lang w:val="zh-CN"/>
              </w:rPr>
              <w:t>。</w:t>
            </w:r>
          </w:p>
        </w:tc>
        <w:tc>
          <w:tcPr>
            <w:tcW w:w="1187" w:type="dxa"/>
            <w:vAlign w:val="center"/>
          </w:tcPr>
          <w:p w14:paraId="5DBCE9E7">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3" w:hRule="atLeast"/>
          <w:jc w:val="center"/>
        </w:trPr>
        <w:tc>
          <w:tcPr>
            <w:tcW w:w="754" w:type="dxa"/>
            <w:vAlign w:val="center"/>
          </w:tcPr>
          <w:p w14:paraId="34DBB31C">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5</w:t>
            </w:r>
          </w:p>
        </w:tc>
        <w:tc>
          <w:tcPr>
            <w:tcW w:w="1143" w:type="dxa"/>
            <w:vAlign w:val="center"/>
          </w:tcPr>
          <w:p w14:paraId="42B13F9C">
            <w:pPr>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rPr>
              <w:t>诚信</w:t>
            </w:r>
            <w:r>
              <w:rPr>
                <w:rFonts w:hint="eastAsia" w:cs="仿宋" w:asciiTheme="minorEastAsia" w:hAnsiTheme="minorEastAsia" w:eastAsiaTheme="minorEastAsia"/>
                <w:szCs w:val="21"/>
                <w:lang w:val="en-US" w:eastAsia="zh-CN"/>
              </w:rPr>
              <w:t>评价</w:t>
            </w:r>
          </w:p>
        </w:tc>
        <w:tc>
          <w:tcPr>
            <w:tcW w:w="709" w:type="dxa"/>
            <w:vAlign w:val="center"/>
          </w:tcPr>
          <w:p w14:paraId="6BAF4B7F">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2E3C8C8C">
            <w:pPr>
              <w:pStyle w:val="94"/>
              <w:spacing w:line="360" w:lineRule="exact"/>
              <w:ind w:left="34" w:leftChars="16" w:firstLine="0" w:firstLineChars="0"/>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7C02CE8">
            <w:pPr>
              <w:pStyle w:val="94"/>
              <w:spacing w:line="360" w:lineRule="exact"/>
              <w:ind w:left="34" w:leftChars="16" w:firstLine="0" w:firstLineChars="0"/>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2"/>
        <w:spacing w:before="0" w:after="0"/>
        <w:jc w:val="left"/>
        <w:rPr>
          <w:rFonts w:asciiTheme="minorEastAsia" w:hAnsiTheme="minorEastAsia"/>
          <w:bCs w:val="0"/>
          <w:sz w:val="21"/>
          <w:szCs w:val="21"/>
        </w:rPr>
      </w:pPr>
      <w:bookmarkStart w:id="16" w:name="_Toc44691394"/>
      <w:bookmarkStart w:id="17" w:name="_Toc135293165"/>
      <w:bookmarkStart w:id="18" w:name="_Toc44690430"/>
      <w:bookmarkStart w:id="19" w:name="_Toc44690703"/>
      <w:bookmarkStart w:id="20" w:name="_Toc44691162"/>
      <w:r>
        <w:rPr>
          <w:rFonts w:hint="eastAsia" w:asciiTheme="minorEastAsia" w:hAnsiTheme="minorEastAsia"/>
          <w:bCs w:val="0"/>
          <w:sz w:val="21"/>
          <w:szCs w:val="21"/>
        </w:rPr>
        <w:t>备注：</w:t>
      </w:r>
      <w:bookmarkEnd w:id="16"/>
      <w:bookmarkEnd w:id="17"/>
      <w:bookmarkEnd w:id="18"/>
      <w:bookmarkEnd w:id="19"/>
      <w:bookmarkEnd w:id="20"/>
    </w:p>
    <w:p w14:paraId="66EDEC43">
      <w:pPr>
        <w:pStyle w:val="4"/>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w:t>
      </w:r>
      <w:r>
        <w:rPr>
          <w:rFonts w:hint="eastAsia" w:ascii="宋体" w:hAnsi="宋体"/>
          <w:b/>
          <w:snapToGrid w:val="0"/>
          <w:szCs w:val="21"/>
          <w:highlight w:val="yellow"/>
          <w:u w:val="single"/>
          <w:lang w:val="en-US" w:eastAsia="zh-CN"/>
        </w:rPr>
        <w:t>批发业</w:t>
      </w:r>
      <w:r>
        <w:rPr>
          <w:rFonts w:hint="eastAsia" w:ascii="宋体" w:hAnsi="宋体"/>
          <w:b/>
          <w:snapToGrid w:val="0"/>
          <w:szCs w:val="21"/>
          <w:highlight w:val="yellow"/>
          <w:u w:val="single"/>
        </w:rPr>
        <w:t xml:space="preserve">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3"/>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2025年春节慰问品</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int="eastAsia" w:hAnsi="宋体" w:eastAsia="宋体"/>
                <w:szCs w:val="24"/>
                <w:lang w:eastAsia="zh-CN"/>
              </w:rPr>
            </w:pPr>
            <w:r>
              <w:rPr>
                <w:rFonts w:hint="eastAsia" w:ascii="宋体" w:hAnsi="宋体" w:eastAsia="宋体"/>
                <w:snapToGrid w:val="0"/>
                <w:color w:val="auto"/>
                <w:sz w:val="21"/>
                <w:szCs w:val="21"/>
              </w:rPr>
              <w:t>深圳市宝安区人民医院</w:t>
            </w:r>
            <w:r>
              <w:rPr>
                <w:rFonts w:hint="eastAsia" w:hAnsi="宋体"/>
                <w:snapToGrid w:val="0"/>
                <w:color w:val="auto"/>
                <w:sz w:val="21"/>
                <w:szCs w:val="21"/>
                <w:lang w:eastAsia="zh-CN"/>
              </w:rPr>
              <w:t>、深圳市宝安区人民医院工会委员会</w:t>
            </w:r>
            <w:bookmarkStart w:id="116" w:name="_GoBack"/>
            <w:bookmarkEnd w:id="116"/>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（含投标文件正本盖章扫描件及投标文件WORD文档）</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eastAsia="宋体" w:cs="MS Mincho"/>
                <w:sz w:val="24"/>
                <w:szCs w:val="24"/>
                <w:lang w:eastAsia="zh-CN"/>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0</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687E342D">
            <w:pPr>
              <w:pStyle w:val="26"/>
              <w:spacing w:line="360" w:lineRule="auto"/>
              <w:rPr>
                <w:rFonts w:hAnsi="宋体"/>
              </w:rPr>
            </w:pPr>
            <w:r>
              <w:rPr>
                <w:rFonts w:hint="eastAsia" w:hAnsi="宋体"/>
                <w:lang w:eastAsia="zh-CN"/>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31</w:t>
            </w:r>
            <w:r>
              <w:rPr>
                <w:rFonts w:hint="eastAsia" w:asciiTheme="minorEastAsia" w:hAnsiTheme="minorEastAsia" w:eastAsiaTheme="minorEastAsia"/>
                <w:u w:val="single"/>
              </w:rPr>
              <w:t xml:space="preserve">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10246.5</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4" w:name="_Toc135293169"/>
      <w:r>
        <w:rPr>
          <w:rFonts w:hint="eastAsia"/>
        </w:rPr>
        <w:t>第六章  投标人须知</w:t>
      </w:r>
      <w:bookmarkEnd w:id="24"/>
    </w:p>
    <w:p w14:paraId="2E5D3F6A">
      <w:pPr>
        <w:pStyle w:val="2"/>
        <w:spacing w:before="0" w:after="0"/>
      </w:pPr>
      <w:bookmarkStart w:id="25" w:name="_Toc135293170"/>
      <w:r>
        <w:rPr>
          <w:rFonts w:hint="eastAsia"/>
        </w:rPr>
        <w:t>一、说</w:t>
      </w:r>
      <w:r>
        <w:t xml:space="preserve">  </w:t>
      </w:r>
      <w:r>
        <w:rPr>
          <w:rFonts w:hint="eastAsia"/>
        </w:rPr>
        <w:t>明</w:t>
      </w:r>
      <w:bookmarkEnd w:id="25"/>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6" w:name="q5"/>
      <w:bookmarkEnd w:id="26"/>
    </w:p>
    <w:p w14:paraId="1C5B43CC">
      <w:pPr>
        <w:pStyle w:val="2"/>
        <w:spacing w:before="0" w:after="0"/>
      </w:pPr>
      <w:bookmarkStart w:id="27" w:name="_Toc135293171"/>
      <w:r>
        <w:rPr>
          <w:rFonts w:hint="eastAsia"/>
        </w:rPr>
        <w:t>二、招标文件说明</w:t>
      </w:r>
      <w:bookmarkEnd w:id="27"/>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2"/>
        <w:spacing w:before="0" w:after="0"/>
      </w:pPr>
      <w:bookmarkStart w:id="28" w:name="q6"/>
      <w:bookmarkEnd w:id="28"/>
      <w:bookmarkStart w:id="29" w:name="_Toc135293172"/>
      <w:r>
        <w:rPr>
          <w:rFonts w:hint="eastAsia"/>
        </w:rPr>
        <w:t>三、投标文件的编写</w:t>
      </w:r>
      <w:bookmarkEnd w:id="29"/>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2"/>
        <w:spacing w:before="0" w:after="0"/>
      </w:pPr>
      <w:bookmarkStart w:id="30" w:name="q7"/>
      <w:bookmarkEnd w:id="30"/>
      <w:bookmarkStart w:id="31" w:name="_Toc135293173"/>
      <w:r>
        <w:rPr>
          <w:rFonts w:hint="eastAsia"/>
        </w:rPr>
        <w:t>四、投标文件的递交</w:t>
      </w:r>
      <w:bookmarkEnd w:id="31"/>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2"/>
        <w:spacing w:before="0" w:after="0"/>
      </w:pPr>
      <w:bookmarkStart w:id="33" w:name="q8"/>
      <w:bookmarkEnd w:id="33"/>
      <w:bookmarkStart w:id="34" w:name="_Toc135293174"/>
      <w:r>
        <w:rPr>
          <w:rFonts w:hint="eastAsia"/>
        </w:rPr>
        <w:t>五、开标和评标</w:t>
      </w:r>
      <w:bookmarkEnd w:id="34"/>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4A988C9">
      <w:pPr>
        <w:pStyle w:val="2"/>
        <w:spacing w:before="0" w:after="0"/>
      </w:pPr>
      <w:bookmarkStart w:id="36" w:name="_Toc135293175"/>
      <w:r>
        <w:rPr>
          <w:rFonts w:hint="eastAsia"/>
        </w:rPr>
        <w:t>六、授予合同</w:t>
      </w:r>
      <w:bookmarkEnd w:id="36"/>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2"/>
        <w:spacing w:before="0" w:after="0"/>
      </w:pPr>
      <w:bookmarkStart w:id="37" w:name="_Toc135293176"/>
      <w:r>
        <w:rPr>
          <w:rFonts w:hint="eastAsia"/>
        </w:rPr>
        <w:t>七、质疑处理</w:t>
      </w:r>
      <w:bookmarkEnd w:id="37"/>
    </w:p>
    <w:p w14:paraId="754BDC90">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A0A6741"/>
    <w:p w14:paraId="0EF3EA2D"/>
    <w:p w14:paraId="733C5883"/>
    <w:p w14:paraId="119D0EFB"/>
    <w:p w14:paraId="34F26E02"/>
    <w:p w14:paraId="4BEC3DCF"/>
    <w:p w14:paraId="7249BBC9"/>
    <w:p w14:paraId="07E8BB72"/>
    <w:p w14:paraId="3840A4C3"/>
    <w:p w14:paraId="7C75111C"/>
    <w:p w14:paraId="08A50EB8"/>
    <w:p w14:paraId="5F8D05F3">
      <w:pPr>
        <w:pStyle w:val="3"/>
        <w:jc w:val="both"/>
        <w:rPr>
          <w:rFonts w:hint="eastAsia"/>
        </w:rPr>
      </w:pPr>
      <w:bookmarkStart w:id="40" w:name="_Toc135293177"/>
    </w:p>
    <w:p w14:paraId="08B9A4A6">
      <w:pPr>
        <w:rPr>
          <w:rFonts w:hint="eastAsia"/>
        </w:rPr>
      </w:pPr>
    </w:p>
    <w:p w14:paraId="173F5B4B">
      <w:pPr>
        <w:rPr>
          <w:rFonts w:hint="eastAsia"/>
        </w:rPr>
      </w:pPr>
    </w:p>
    <w:p w14:paraId="5625242C">
      <w:pPr>
        <w:rPr>
          <w:rFonts w:hint="eastAsia"/>
        </w:rPr>
      </w:pPr>
    </w:p>
    <w:p w14:paraId="4CAD3FE6">
      <w:pPr>
        <w:rPr>
          <w:rFonts w:hint="eastAsia"/>
        </w:rPr>
      </w:pPr>
    </w:p>
    <w:p w14:paraId="03BD281B">
      <w:pPr>
        <w:rPr>
          <w:rFonts w:hint="eastAsia"/>
        </w:rPr>
      </w:pPr>
    </w:p>
    <w:p w14:paraId="0BC5F885">
      <w:pPr>
        <w:rPr>
          <w:rFonts w:hint="eastAsia"/>
        </w:rPr>
      </w:pPr>
    </w:p>
    <w:p w14:paraId="60B265A4">
      <w:pPr>
        <w:pStyle w:val="3"/>
        <w:rPr>
          <w:rFonts w:hint="eastAsia"/>
        </w:rPr>
      </w:pPr>
    </w:p>
    <w:p w14:paraId="2B5E3F2E">
      <w:pPr>
        <w:pStyle w:val="3"/>
      </w:pPr>
      <w:r>
        <w:rPr>
          <w:rFonts w:hint="eastAsia"/>
        </w:rPr>
        <w:t>第七章  投标文件格式</w:t>
      </w:r>
      <w:bookmarkEnd w:id="40"/>
    </w:p>
    <w:p w14:paraId="6A7BFB52">
      <w:pPr>
        <w:jc w:val="center"/>
        <w:rPr>
          <w:b/>
          <w:sz w:val="52"/>
          <w:szCs w:val="52"/>
        </w:rPr>
      </w:pPr>
    </w:p>
    <w:p w14:paraId="73393E35">
      <w:pPr>
        <w:pStyle w:val="2"/>
        <w:spacing w:line="400" w:lineRule="exact"/>
        <w:rPr>
          <w:rFonts w:ascii="仿宋" w:hAnsi="仿宋" w:eastAsia="仿宋"/>
        </w:rPr>
      </w:pPr>
      <w:bookmarkStart w:id="41" w:name="_Toc44691163"/>
      <w:bookmarkStart w:id="42" w:name="_Toc44691395"/>
      <w:bookmarkStart w:id="43" w:name="_Toc11772"/>
      <w:bookmarkStart w:id="44" w:name="_Toc25194"/>
      <w:bookmarkStart w:id="45" w:name="_Toc14934"/>
      <w:bookmarkStart w:id="46" w:name="_Toc31468"/>
      <w:bookmarkStart w:id="47" w:name="_Toc44690431"/>
      <w:bookmarkStart w:id="48" w:name="_Toc135293178"/>
      <w:bookmarkStart w:id="49" w:name="_Toc4469070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2"/>
        <w:spacing w:line="400" w:lineRule="exact"/>
        <w:rPr>
          <w:rFonts w:ascii="仿宋" w:hAnsi="仿宋" w:eastAsia="仿宋"/>
        </w:rPr>
      </w:pPr>
      <w:bookmarkStart w:id="52" w:name="_Toc135293179"/>
    </w:p>
    <w:p w14:paraId="3EC095F1">
      <w:pPr>
        <w:pStyle w:val="2"/>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1E6BF971">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9"/>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9"/>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9"/>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9"/>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9"/>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2"/>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6B661A7">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00F35F14">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232B6609">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555A5ADC">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191B0E32">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447D0A7">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434ED76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149F1A1D">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38636FF">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211D0050">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5C3827E7">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DF464D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6F8EA7E8">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189F5E3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071BEECA">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3ED130A">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4CE8C274">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711A0CE">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176EBD0A">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6324A477">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1640453">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11EEF796">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AD78F28">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3675D">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2831BF8">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90FBB74">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38F13E1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1A4C67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5871BE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4E79C46">
      <w:pPr>
        <w:spacing w:line="360" w:lineRule="auto"/>
        <w:ind w:firstLine="420" w:firstLineChars="200"/>
        <w:rPr>
          <w:rFonts w:ascii="宋体" w:hAnsi="宋体"/>
          <w:szCs w:val="21"/>
          <w:u w:val="single"/>
        </w:rPr>
      </w:pPr>
    </w:p>
    <w:p w14:paraId="393EF0B6">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3AFA16E">
      <w:pPr>
        <w:spacing w:line="360" w:lineRule="auto"/>
        <w:ind w:firstLine="420" w:firstLineChars="200"/>
        <w:rPr>
          <w:rFonts w:ascii="宋体" w:hAnsi="宋体"/>
          <w:szCs w:val="21"/>
        </w:rPr>
      </w:pPr>
      <w:r>
        <w:rPr>
          <w:rFonts w:hint="eastAsia" w:ascii="宋体" w:hAnsi="宋体"/>
          <w:szCs w:val="21"/>
        </w:rPr>
        <w:t>知悉人（公章）：</w:t>
      </w:r>
    </w:p>
    <w:p w14:paraId="5906E7B8">
      <w:pPr>
        <w:spacing w:line="360" w:lineRule="auto"/>
        <w:ind w:firstLine="420" w:firstLineChars="200"/>
        <w:rPr>
          <w:rFonts w:ascii="宋体" w:hAnsi="宋体"/>
          <w:szCs w:val="21"/>
        </w:rPr>
      </w:pPr>
      <w:r>
        <w:rPr>
          <w:rFonts w:hint="eastAsia" w:ascii="宋体" w:hAnsi="宋体"/>
          <w:szCs w:val="21"/>
        </w:rPr>
        <w:t>日期：</w:t>
      </w:r>
    </w:p>
    <w:p w14:paraId="5122F810">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p w14:paraId="3500744B">
      <w:pPr>
        <w:pStyle w:val="2"/>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57" w:name="_Toc44691396"/>
      <w:bookmarkStart w:id="58" w:name="_Toc135293182"/>
      <w:bookmarkStart w:id="59" w:name="_Toc44691164"/>
      <w:bookmarkStart w:id="60" w:name="_Toc44690705"/>
      <w:bookmarkStart w:id="61" w:name="_Toc44690432"/>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2"/>
        <w:spacing w:line="400" w:lineRule="exact"/>
        <w:rPr>
          <w:rFonts w:hint="eastAsia" w:ascii="仿宋" w:hAnsi="仿宋" w:eastAsia="仿宋"/>
        </w:rPr>
      </w:pPr>
    </w:p>
    <w:p w14:paraId="7962A813">
      <w:pPr>
        <w:pStyle w:val="2"/>
        <w:spacing w:line="400" w:lineRule="exact"/>
        <w:rPr>
          <w:b/>
          <w:szCs w:val="21"/>
        </w:rPr>
      </w:pPr>
      <w:r>
        <w:rPr>
          <w:rFonts w:hint="eastAsia" w:ascii="仿宋" w:hAnsi="仿宋" w:eastAsia="仿宋"/>
          <w:lang w:eastAsia="zh-CN"/>
        </w:rPr>
        <w:t>供应商自查</w:t>
      </w:r>
      <w:r>
        <w:rPr>
          <w:rFonts w:hint="eastAsia" w:ascii="仿宋" w:hAnsi="仿宋" w:eastAsia="仿宋"/>
        </w:rPr>
        <w:t>表</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0AC7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36E2C209">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vAlign w:val="center"/>
          </w:tcPr>
          <w:p w14:paraId="0E0D165A">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是否存在以下投标违规行为</w:t>
            </w:r>
          </w:p>
        </w:tc>
        <w:tc>
          <w:tcPr>
            <w:tcW w:w="2921" w:type="dxa"/>
            <w:vAlign w:val="center"/>
          </w:tcPr>
          <w:p w14:paraId="06D7EE83">
            <w:pPr>
              <w:spacing w:line="360" w:lineRule="exact"/>
              <w:jc w:val="center"/>
              <w:rPr>
                <w:rFonts w:hint="eastAsia" w:ascii="宋体" w:hAnsi="宋体"/>
                <w:szCs w:val="21"/>
                <w:lang w:eastAsia="zh-CN"/>
              </w:rPr>
            </w:pPr>
            <w:r>
              <w:rPr>
                <w:rFonts w:hint="eastAsia" w:ascii="宋体" w:hAnsi="宋体"/>
                <w:szCs w:val="21"/>
                <w:lang w:eastAsia="zh-CN"/>
              </w:rPr>
              <w:t>自查情况</w:t>
            </w:r>
          </w:p>
          <w:p w14:paraId="41F725E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vAlign w:val="center"/>
          </w:tcPr>
          <w:p w14:paraId="3D549918">
            <w:pPr>
              <w:spacing w:line="360" w:lineRule="exact"/>
              <w:jc w:val="center"/>
              <w:rPr>
                <w:rFonts w:ascii="宋体" w:hAnsi="宋体"/>
                <w:szCs w:val="21"/>
              </w:rPr>
            </w:pPr>
            <w:r>
              <w:rPr>
                <w:rFonts w:hint="eastAsia" w:ascii="宋体" w:hAnsi="宋体"/>
                <w:szCs w:val="21"/>
              </w:rPr>
              <w:t>备注</w:t>
            </w:r>
          </w:p>
        </w:tc>
      </w:tr>
      <w:tr w14:paraId="49B2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58C77257">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vAlign w:val="center"/>
          </w:tcPr>
          <w:p w14:paraId="258C61F5">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vAlign w:val="center"/>
          </w:tcPr>
          <w:p w14:paraId="57489CEA">
            <w:pPr>
              <w:spacing w:line="360" w:lineRule="exact"/>
              <w:jc w:val="center"/>
              <w:rPr>
                <w:rFonts w:ascii="宋体" w:hAnsi="宋体"/>
                <w:b/>
                <w:szCs w:val="21"/>
              </w:rPr>
            </w:pPr>
          </w:p>
        </w:tc>
        <w:tc>
          <w:tcPr>
            <w:tcW w:w="924" w:type="dxa"/>
            <w:vAlign w:val="center"/>
          </w:tcPr>
          <w:p w14:paraId="59507E88">
            <w:pPr>
              <w:spacing w:line="360" w:lineRule="exact"/>
              <w:jc w:val="center"/>
              <w:rPr>
                <w:rFonts w:ascii="宋体" w:hAnsi="宋体"/>
                <w:b/>
                <w:szCs w:val="21"/>
              </w:rPr>
            </w:pPr>
          </w:p>
        </w:tc>
      </w:tr>
      <w:tr w14:paraId="1E0E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17CBF86B">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vAlign w:val="center"/>
          </w:tcPr>
          <w:p w14:paraId="7E7BE69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041BB7B3">
            <w:pPr>
              <w:spacing w:line="360" w:lineRule="exact"/>
              <w:jc w:val="center"/>
              <w:rPr>
                <w:rFonts w:ascii="宋体" w:hAnsi="宋体"/>
                <w:b/>
                <w:szCs w:val="21"/>
              </w:rPr>
            </w:pPr>
          </w:p>
        </w:tc>
        <w:tc>
          <w:tcPr>
            <w:tcW w:w="924" w:type="dxa"/>
            <w:vAlign w:val="center"/>
          </w:tcPr>
          <w:p w14:paraId="4491BD10">
            <w:pPr>
              <w:spacing w:line="360" w:lineRule="exact"/>
              <w:jc w:val="center"/>
              <w:rPr>
                <w:rFonts w:ascii="宋体" w:hAnsi="宋体"/>
                <w:b/>
                <w:szCs w:val="21"/>
              </w:rPr>
            </w:pPr>
          </w:p>
        </w:tc>
      </w:tr>
      <w:tr w14:paraId="08C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0DA48915">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vAlign w:val="center"/>
          </w:tcPr>
          <w:p w14:paraId="672EA1C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vAlign w:val="center"/>
          </w:tcPr>
          <w:p w14:paraId="26457AD0">
            <w:pPr>
              <w:spacing w:line="360" w:lineRule="exact"/>
              <w:jc w:val="center"/>
              <w:rPr>
                <w:rFonts w:ascii="宋体" w:hAnsi="宋体"/>
                <w:b/>
                <w:szCs w:val="21"/>
              </w:rPr>
            </w:pPr>
          </w:p>
        </w:tc>
        <w:tc>
          <w:tcPr>
            <w:tcW w:w="924" w:type="dxa"/>
            <w:vAlign w:val="center"/>
          </w:tcPr>
          <w:p w14:paraId="3E562CF8">
            <w:pPr>
              <w:spacing w:line="360" w:lineRule="exact"/>
              <w:jc w:val="center"/>
              <w:rPr>
                <w:rFonts w:ascii="宋体" w:hAnsi="宋体"/>
                <w:b/>
                <w:szCs w:val="21"/>
              </w:rPr>
            </w:pPr>
          </w:p>
        </w:tc>
      </w:tr>
      <w:tr w14:paraId="24BA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4034AEB9">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vAlign w:val="center"/>
          </w:tcPr>
          <w:p w14:paraId="145C2626">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vAlign w:val="center"/>
          </w:tcPr>
          <w:p w14:paraId="4B1AE48C">
            <w:pPr>
              <w:spacing w:line="360" w:lineRule="exact"/>
              <w:jc w:val="center"/>
              <w:rPr>
                <w:rFonts w:ascii="宋体" w:hAnsi="宋体"/>
                <w:b/>
                <w:szCs w:val="21"/>
              </w:rPr>
            </w:pPr>
          </w:p>
        </w:tc>
        <w:tc>
          <w:tcPr>
            <w:tcW w:w="924" w:type="dxa"/>
            <w:vAlign w:val="center"/>
          </w:tcPr>
          <w:p w14:paraId="16D43370">
            <w:pPr>
              <w:spacing w:line="360" w:lineRule="exact"/>
              <w:jc w:val="center"/>
              <w:rPr>
                <w:rFonts w:ascii="宋体" w:hAnsi="宋体"/>
                <w:b/>
                <w:szCs w:val="21"/>
              </w:rPr>
            </w:pPr>
          </w:p>
        </w:tc>
      </w:tr>
      <w:tr w14:paraId="5EC0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04E379D7">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vAlign w:val="center"/>
          </w:tcPr>
          <w:p w14:paraId="01E08A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vAlign w:val="center"/>
          </w:tcPr>
          <w:p w14:paraId="5D6B5ADF">
            <w:pPr>
              <w:spacing w:line="360" w:lineRule="exact"/>
              <w:jc w:val="center"/>
              <w:rPr>
                <w:rFonts w:ascii="宋体" w:hAnsi="宋体"/>
                <w:b/>
                <w:szCs w:val="21"/>
              </w:rPr>
            </w:pPr>
          </w:p>
        </w:tc>
        <w:tc>
          <w:tcPr>
            <w:tcW w:w="924" w:type="dxa"/>
            <w:vAlign w:val="center"/>
          </w:tcPr>
          <w:p w14:paraId="4DDA9509">
            <w:pPr>
              <w:spacing w:line="360" w:lineRule="exact"/>
              <w:jc w:val="center"/>
              <w:rPr>
                <w:rFonts w:ascii="宋体" w:hAnsi="宋体"/>
                <w:b/>
                <w:szCs w:val="21"/>
              </w:rPr>
            </w:pPr>
          </w:p>
        </w:tc>
      </w:tr>
      <w:tr w14:paraId="374D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76469E79">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vAlign w:val="center"/>
          </w:tcPr>
          <w:p w14:paraId="3A24436E">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vAlign w:val="center"/>
          </w:tcPr>
          <w:p w14:paraId="6C9DA22C">
            <w:pPr>
              <w:spacing w:line="360" w:lineRule="exact"/>
              <w:jc w:val="center"/>
              <w:rPr>
                <w:rFonts w:ascii="宋体" w:hAnsi="宋体"/>
                <w:b/>
                <w:szCs w:val="21"/>
              </w:rPr>
            </w:pPr>
          </w:p>
        </w:tc>
        <w:tc>
          <w:tcPr>
            <w:tcW w:w="924" w:type="dxa"/>
            <w:vAlign w:val="center"/>
          </w:tcPr>
          <w:p w14:paraId="160BEE0D">
            <w:pPr>
              <w:spacing w:line="360" w:lineRule="exact"/>
              <w:jc w:val="center"/>
              <w:rPr>
                <w:rFonts w:ascii="宋体" w:hAnsi="宋体"/>
                <w:b/>
                <w:szCs w:val="21"/>
              </w:rPr>
            </w:pPr>
          </w:p>
        </w:tc>
      </w:tr>
      <w:tr w14:paraId="0DBF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8E34861">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vAlign w:val="center"/>
          </w:tcPr>
          <w:p w14:paraId="3FB54F8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不同投标人的投标文件异常一致或者投标报价呈规律性差异</w:t>
            </w:r>
            <w:r>
              <w:rPr>
                <w:rFonts w:hint="eastAsia" w:ascii="宋体" w:hAnsi="宋体" w:eastAsia="宋体" w:cs="宋体"/>
                <w:color w:val="auto"/>
                <w:lang w:eastAsia="zh-CN"/>
              </w:rPr>
              <w:t>。</w:t>
            </w:r>
          </w:p>
        </w:tc>
        <w:tc>
          <w:tcPr>
            <w:tcW w:w="2921" w:type="dxa"/>
            <w:vAlign w:val="center"/>
          </w:tcPr>
          <w:p w14:paraId="08BA4923">
            <w:pPr>
              <w:spacing w:line="360" w:lineRule="exact"/>
              <w:jc w:val="center"/>
              <w:rPr>
                <w:rFonts w:ascii="宋体" w:hAnsi="宋体"/>
                <w:b/>
                <w:szCs w:val="21"/>
              </w:rPr>
            </w:pPr>
          </w:p>
        </w:tc>
        <w:tc>
          <w:tcPr>
            <w:tcW w:w="924" w:type="dxa"/>
            <w:vAlign w:val="center"/>
          </w:tcPr>
          <w:p w14:paraId="135E861F">
            <w:pPr>
              <w:spacing w:line="360" w:lineRule="exact"/>
              <w:jc w:val="center"/>
              <w:rPr>
                <w:rFonts w:ascii="宋体" w:hAnsi="宋体"/>
                <w:b/>
                <w:szCs w:val="21"/>
              </w:rPr>
            </w:pPr>
          </w:p>
        </w:tc>
      </w:tr>
      <w:tr w14:paraId="0714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50C958EE">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vAlign w:val="center"/>
          </w:tcPr>
          <w:p w14:paraId="58985CA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vAlign w:val="center"/>
          </w:tcPr>
          <w:p w14:paraId="27820981">
            <w:pPr>
              <w:spacing w:line="360" w:lineRule="exact"/>
              <w:jc w:val="center"/>
              <w:rPr>
                <w:rFonts w:ascii="宋体" w:hAnsi="宋体"/>
                <w:b/>
                <w:szCs w:val="21"/>
              </w:rPr>
            </w:pPr>
          </w:p>
        </w:tc>
        <w:tc>
          <w:tcPr>
            <w:tcW w:w="924" w:type="dxa"/>
            <w:vAlign w:val="center"/>
          </w:tcPr>
          <w:p w14:paraId="6656C63B">
            <w:pPr>
              <w:spacing w:line="360" w:lineRule="exact"/>
              <w:jc w:val="center"/>
              <w:rPr>
                <w:rFonts w:ascii="宋体" w:hAnsi="宋体"/>
                <w:b/>
                <w:szCs w:val="21"/>
              </w:rPr>
            </w:pPr>
          </w:p>
        </w:tc>
      </w:tr>
      <w:tr w14:paraId="6E9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13E7EAB">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vAlign w:val="center"/>
          </w:tcPr>
          <w:p w14:paraId="67A2305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vAlign w:val="center"/>
          </w:tcPr>
          <w:p w14:paraId="09D3E7CE">
            <w:pPr>
              <w:spacing w:line="360" w:lineRule="exact"/>
              <w:jc w:val="center"/>
              <w:rPr>
                <w:rFonts w:ascii="宋体" w:hAnsi="宋体"/>
                <w:b/>
                <w:szCs w:val="21"/>
              </w:rPr>
            </w:pPr>
          </w:p>
        </w:tc>
        <w:tc>
          <w:tcPr>
            <w:tcW w:w="924" w:type="dxa"/>
            <w:vAlign w:val="center"/>
          </w:tcPr>
          <w:p w14:paraId="0CD4109A">
            <w:pPr>
              <w:spacing w:line="360" w:lineRule="exact"/>
              <w:jc w:val="center"/>
              <w:rPr>
                <w:rFonts w:ascii="宋体" w:hAnsi="宋体"/>
                <w:b/>
                <w:szCs w:val="21"/>
              </w:rPr>
            </w:pPr>
          </w:p>
        </w:tc>
      </w:tr>
      <w:tr w14:paraId="3595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34CB67F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vAlign w:val="center"/>
          </w:tcPr>
          <w:p w14:paraId="58E5803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vAlign w:val="center"/>
          </w:tcPr>
          <w:p w14:paraId="6F5D4707">
            <w:pPr>
              <w:spacing w:line="360" w:lineRule="exact"/>
              <w:jc w:val="center"/>
              <w:rPr>
                <w:rFonts w:ascii="宋体" w:hAnsi="宋体"/>
                <w:b/>
                <w:szCs w:val="21"/>
              </w:rPr>
            </w:pPr>
          </w:p>
        </w:tc>
        <w:tc>
          <w:tcPr>
            <w:tcW w:w="924" w:type="dxa"/>
            <w:vAlign w:val="center"/>
          </w:tcPr>
          <w:p w14:paraId="45834765">
            <w:pPr>
              <w:spacing w:line="360" w:lineRule="exact"/>
              <w:jc w:val="center"/>
              <w:rPr>
                <w:rFonts w:ascii="宋体" w:hAnsi="宋体"/>
                <w:b/>
                <w:szCs w:val="21"/>
              </w:rPr>
            </w:pPr>
          </w:p>
        </w:tc>
      </w:tr>
      <w:tr w14:paraId="5FBF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7CCA64E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vAlign w:val="center"/>
          </w:tcPr>
          <w:p w14:paraId="3E8F6CA5">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vAlign w:val="center"/>
          </w:tcPr>
          <w:p w14:paraId="5D00CAF7">
            <w:pPr>
              <w:spacing w:line="360" w:lineRule="exact"/>
              <w:jc w:val="center"/>
              <w:rPr>
                <w:rFonts w:ascii="宋体" w:hAnsi="宋体"/>
                <w:b/>
                <w:szCs w:val="21"/>
              </w:rPr>
            </w:pPr>
          </w:p>
        </w:tc>
        <w:tc>
          <w:tcPr>
            <w:tcW w:w="924" w:type="dxa"/>
            <w:vAlign w:val="center"/>
          </w:tcPr>
          <w:p w14:paraId="2FA0411C">
            <w:pPr>
              <w:spacing w:line="360" w:lineRule="exact"/>
              <w:jc w:val="center"/>
              <w:rPr>
                <w:rFonts w:ascii="宋体" w:hAnsi="宋体"/>
                <w:b/>
                <w:szCs w:val="21"/>
              </w:rPr>
            </w:pPr>
          </w:p>
        </w:tc>
      </w:tr>
      <w:tr w14:paraId="25C8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1F9B5AE3">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vAlign w:val="center"/>
          </w:tcPr>
          <w:p w14:paraId="66F589F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vAlign w:val="center"/>
          </w:tcPr>
          <w:p w14:paraId="750A441C">
            <w:pPr>
              <w:spacing w:line="360" w:lineRule="exact"/>
              <w:jc w:val="center"/>
              <w:rPr>
                <w:rFonts w:ascii="宋体" w:hAnsi="宋体"/>
                <w:b/>
                <w:szCs w:val="21"/>
              </w:rPr>
            </w:pPr>
          </w:p>
        </w:tc>
        <w:tc>
          <w:tcPr>
            <w:tcW w:w="924" w:type="dxa"/>
            <w:vAlign w:val="center"/>
          </w:tcPr>
          <w:p w14:paraId="36A45F6C">
            <w:pPr>
              <w:spacing w:line="360" w:lineRule="exact"/>
              <w:jc w:val="center"/>
              <w:rPr>
                <w:rFonts w:ascii="宋体" w:hAnsi="宋体"/>
                <w:b/>
                <w:szCs w:val="21"/>
              </w:rPr>
            </w:pPr>
          </w:p>
        </w:tc>
      </w:tr>
      <w:tr w14:paraId="115F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6F53AEA4">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vAlign w:val="center"/>
          </w:tcPr>
          <w:p w14:paraId="73CD231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提供虚假材料谋取中标、成交</w:t>
            </w:r>
            <w:r>
              <w:rPr>
                <w:rFonts w:hint="eastAsia" w:ascii="宋体" w:hAnsi="宋体" w:eastAsia="宋体" w:cs="宋体"/>
                <w:color w:val="auto"/>
                <w:sz w:val="21"/>
                <w:szCs w:val="21"/>
                <w:lang w:eastAsia="zh-CN"/>
              </w:rPr>
              <w:t>。</w:t>
            </w:r>
          </w:p>
        </w:tc>
        <w:tc>
          <w:tcPr>
            <w:tcW w:w="2921" w:type="dxa"/>
            <w:vAlign w:val="center"/>
          </w:tcPr>
          <w:p w14:paraId="216DBE8E">
            <w:pPr>
              <w:spacing w:line="360" w:lineRule="exact"/>
              <w:jc w:val="center"/>
              <w:rPr>
                <w:rFonts w:ascii="宋体" w:hAnsi="宋体"/>
                <w:b/>
                <w:szCs w:val="21"/>
              </w:rPr>
            </w:pPr>
          </w:p>
        </w:tc>
        <w:tc>
          <w:tcPr>
            <w:tcW w:w="924" w:type="dxa"/>
            <w:vAlign w:val="center"/>
          </w:tcPr>
          <w:p w14:paraId="584B7826">
            <w:pPr>
              <w:spacing w:line="360" w:lineRule="exact"/>
              <w:jc w:val="center"/>
              <w:rPr>
                <w:rFonts w:ascii="宋体" w:hAnsi="宋体"/>
                <w:b/>
                <w:szCs w:val="21"/>
              </w:rPr>
            </w:pPr>
          </w:p>
        </w:tc>
      </w:tr>
    </w:tbl>
    <w:p w14:paraId="3295BCF1">
      <w:pPr>
        <w:spacing w:line="360" w:lineRule="exact"/>
        <w:rPr>
          <w:b/>
          <w:szCs w:val="21"/>
        </w:rPr>
      </w:pPr>
    </w:p>
    <w:p w14:paraId="20900688">
      <w:pPr>
        <w:adjustRightInd w:val="0"/>
        <w:snapToGrid w:val="0"/>
        <w:spacing w:line="300" w:lineRule="auto"/>
        <w:rPr>
          <w:rFonts w:hint="eastAsia"/>
          <w:snapToGrid w:val="0"/>
          <w:kern w:val="0"/>
        </w:rPr>
      </w:pPr>
    </w:p>
    <w:p w14:paraId="07E2B75D">
      <w:pPr>
        <w:adjustRightInd w:val="0"/>
        <w:snapToGrid w:val="0"/>
        <w:spacing w:line="300" w:lineRule="auto"/>
        <w:rPr>
          <w:snapToGrid w:val="0"/>
          <w:kern w:val="0"/>
        </w:rPr>
      </w:pPr>
      <w:r>
        <w:rPr>
          <w:rFonts w:hint="eastAsia"/>
          <w:snapToGrid w:val="0"/>
          <w:kern w:val="0"/>
        </w:rPr>
        <w:t>投标单位：（盖章）</w:t>
      </w:r>
    </w:p>
    <w:p w14:paraId="556966A2">
      <w:pPr>
        <w:adjustRightInd w:val="0"/>
        <w:snapToGrid w:val="0"/>
        <w:spacing w:line="300" w:lineRule="auto"/>
        <w:rPr>
          <w:snapToGrid w:val="0"/>
          <w:kern w:val="0"/>
        </w:rPr>
      </w:pPr>
    </w:p>
    <w:p w14:paraId="27522CB9">
      <w:pPr>
        <w:adjustRightInd w:val="0"/>
        <w:snapToGrid w:val="0"/>
        <w:spacing w:line="300" w:lineRule="auto"/>
        <w:rPr>
          <w:snapToGrid w:val="0"/>
          <w:kern w:val="0"/>
        </w:rPr>
      </w:pPr>
    </w:p>
    <w:p w14:paraId="044C6579">
      <w:pPr>
        <w:adjustRightInd w:val="0"/>
        <w:snapToGrid w:val="0"/>
        <w:spacing w:line="300" w:lineRule="auto"/>
      </w:pPr>
      <w:r>
        <w:rPr>
          <w:rFonts w:hint="eastAsia"/>
          <w:snapToGrid w:val="0"/>
          <w:kern w:val="0"/>
        </w:rPr>
        <w:t>法定代表人或其授权代表：（签字）</w:t>
      </w:r>
    </w:p>
    <w:p w14:paraId="2E7FEF16">
      <w:pPr>
        <w:adjustRightInd w:val="0"/>
        <w:snapToGrid w:val="0"/>
        <w:spacing w:line="300" w:lineRule="auto"/>
        <w:ind w:right="420"/>
        <w:rPr>
          <w:snapToGrid w:val="0"/>
          <w:kern w:val="0"/>
        </w:rPr>
      </w:pPr>
    </w:p>
    <w:p w14:paraId="08E79179">
      <w:pPr>
        <w:adjustRightInd w:val="0"/>
        <w:snapToGrid w:val="0"/>
        <w:spacing w:line="360" w:lineRule="auto"/>
        <w:ind w:firstLine="600"/>
        <w:jc w:val="right"/>
        <w:rPr>
          <w:rFonts w:hint="eastAsia"/>
        </w:rPr>
      </w:pPr>
      <w:r>
        <w:rPr>
          <w:rFonts w:hint="eastAsia"/>
        </w:rPr>
        <w:t>年     月    日</w:t>
      </w:r>
    </w:p>
    <w:p w14:paraId="5AD50A90">
      <w:pPr>
        <w:pStyle w:val="2"/>
      </w:pP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5D46A064">
      <w:pPr>
        <w:adjustRightInd w:val="0"/>
        <w:snapToGrid w:val="0"/>
        <w:spacing w:line="360" w:lineRule="auto"/>
        <w:rPr>
          <w:rFonts w:ascii="宋体" w:hAnsi="宋体"/>
          <w:bCs/>
          <w:snapToGrid w:val="0"/>
          <w:kern w:val="0"/>
          <w:szCs w:val="21"/>
        </w:rPr>
      </w:pPr>
    </w:p>
    <w:p w14:paraId="089537F5">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013C3A38">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1D4F3040">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5C831FF2">
      <w:pPr>
        <w:adjustRightInd w:val="0"/>
        <w:snapToGrid w:val="0"/>
        <w:spacing w:line="360" w:lineRule="auto"/>
        <w:ind w:firstLine="424" w:firstLineChars="202"/>
        <w:rPr>
          <w:rFonts w:ascii="宋体" w:hAnsi="宋体"/>
          <w:bCs/>
          <w:snapToGrid w:val="0"/>
          <w:kern w:val="0"/>
        </w:rPr>
      </w:pPr>
    </w:p>
    <w:p w14:paraId="71200A8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5D18CDC7">
      <w:pPr>
        <w:adjustRightInd w:val="0"/>
        <w:snapToGrid w:val="0"/>
        <w:spacing w:line="300" w:lineRule="auto"/>
        <w:jc w:val="right"/>
        <w:rPr>
          <w:snapToGrid w:val="0"/>
          <w:kern w:val="0"/>
        </w:rPr>
      </w:pPr>
    </w:p>
    <w:p w14:paraId="3391C2FE">
      <w:pPr>
        <w:adjustRightInd w:val="0"/>
        <w:snapToGrid w:val="0"/>
        <w:spacing w:line="300" w:lineRule="auto"/>
        <w:jc w:val="center"/>
        <w:rPr>
          <w:b/>
          <w:snapToGrid w:val="0"/>
          <w:sz w:val="32"/>
          <w:szCs w:val="32"/>
        </w:rPr>
      </w:pPr>
    </w:p>
    <w:p w14:paraId="632D6367">
      <w:pPr>
        <w:adjustRightInd w:val="0"/>
        <w:snapToGrid w:val="0"/>
        <w:spacing w:line="300" w:lineRule="auto"/>
        <w:jc w:val="center"/>
        <w:rPr>
          <w:b/>
          <w:snapToGrid w:val="0"/>
          <w:sz w:val="32"/>
          <w:szCs w:val="32"/>
        </w:rPr>
      </w:pPr>
    </w:p>
    <w:p w14:paraId="24503429">
      <w:pPr>
        <w:adjustRightInd w:val="0"/>
        <w:snapToGrid w:val="0"/>
        <w:spacing w:line="300" w:lineRule="auto"/>
        <w:jc w:val="center"/>
        <w:rPr>
          <w:b/>
          <w:snapToGrid w:val="0"/>
          <w:sz w:val="32"/>
          <w:szCs w:val="32"/>
        </w:rPr>
      </w:pPr>
    </w:p>
    <w:p w14:paraId="2A88E2A0">
      <w:pPr>
        <w:adjustRightInd w:val="0"/>
        <w:snapToGrid w:val="0"/>
        <w:spacing w:line="300" w:lineRule="auto"/>
        <w:jc w:val="center"/>
        <w:rPr>
          <w:b/>
          <w:snapToGrid w:val="0"/>
          <w:sz w:val="32"/>
          <w:szCs w:val="32"/>
        </w:rPr>
      </w:pPr>
    </w:p>
    <w:p w14:paraId="7281B2EA">
      <w:pPr>
        <w:adjustRightInd w:val="0"/>
        <w:snapToGrid w:val="0"/>
        <w:spacing w:line="300" w:lineRule="auto"/>
        <w:jc w:val="center"/>
        <w:rPr>
          <w:b/>
          <w:snapToGrid w:val="0"/>
          <w:sz w:val="32"/>
          <w:szCs w:val="32"/>
        </w:rPr>
      </w:pPr>
    </w:p>
    <w:p w14:paraId="2A44C3EE">
      <w:pPr>
        <w:adjustRightInd w:val="0"/>
        <w:snapToGrid w:val="0"/>
        <w:spacing w:line="300" w:lineRule="auto"/>
        <w:jc w:val="center"/>
        <w:rPr>
          <w:b/>
          <w:snapToGrid w:val="0"/>
          <w:sz w:val="32"/>
          <w:szCs w:val="32"/>
        </w:rPr>
      </w:pPr>
    </w:p>
    <w:p w14:paraId="75DC0D0F">
      <w:pPr>
        <w:adjustRightInd w:val="0"/>
        <w:snapToGrid w:val="0"/>
        <w:spacing w:line="300" w:lineRule="auto"/>
        <w:jc w:val="center"/>
        <w:rPr>
          <w:b/>
          <w:snapToGrid w:val="0"/>
          <w:sz w:val="32"/>
          <w:szCs w:val="32"/>
        </w:rPr>
      </w:pPr>
    </w:p>
    <w:p w14:paraId="329A4014">
      <w:pPr>
        <w:adjustRightInd w:val="0"/>
        <w:snapToGrid w:val="0"/>
        <w:spacing w:line="300" w:lineRule="auto"/>
        <w:jc w:val="center"/>
        <w:rPr>
          <w:b/>
          <w:snapToGrid w:val="0"/>
          <w:sz w:val="32"/>
          <w:szCs w:val="32"/>
        </w:rPr>
      </w:pPr>
    </w:p>
    <w:p w14:paraId="42AAED6E">
      <w:pPr>
        <w:adjustRightInd w:val="0"/>
        <w:snapToGrid w:val="0"/>
        <w:spacing w:line="300" w:lineRule="auto"/>
        <w:jc w:val="center"/>
        <w:rPr>
          <w:b/>
          <w:snapToGrid w:val="0"/>
          <w:sz w:val="32"/>
          <w:szCs w:val="32"/>
        </w:rPr>
      </w:pPr>
    </w:p>
    <w:p w14:paraId="7C98026B">
      <w:pPr>
        <w:adjustRightInd w:val="0"/>
        <w:snapToGrid w:val="0"/>
        <w:spacing w:line="300" w:lineRule="auto"/>
        <w:jc w:val="center"/>
        <w:rPr>
          <w:b/>
          <w:snapToGrid w:val="0"/>
          <w:sz w:val="32"/>
          <w:szCs w:val="32"/>
        </w:rPr>
      </w:pPr>
    </w:p>
    <w:p w14:paraId="34A41AB1">
      <w:pPr>
        <w:adjustRightInd w:val="0"/>
        <w:snapToGrid w:val="0"/>
        <w:spacing w:line="300" w:lineRule="auto"/>
        <w:jc w:val="center"/>
        <w:rPr>
          <w:b/>
          <w:snapToGrid w:val="0"/>
          <w:sz w:val="32"/>
          <w:szCs w:val="32"/>
        </w:rPr>
      </w:pPr>
    </w:p>
    <w:p w14:paraId="2ABBE54F">
      <w:pPr>
        <w:adjustRightInd w:val="0"/>
        <w:snapToGrid w:val="0"/>
        <w:spacing w:line="300" w:lineRule="auto"/>
        <w:jc w:val="center"/>
        <w:rPr>
          <w:b/>
          <w:snapToGrid w:val="0"/>
          <w:sz w:val="32"/>
          <w:szCs w:val="32"/>
        </w:rPr>
      </w:pPr>
    </w:p>
    <w:p w14:paraId="475C01D4">
      <w:pPr>
        <w:adjustRightInd w:val="0"/>
        <w:snapToGrid w:val="0"/>
        <w:spacing w:line="300" w:lineRule="auto"/>
        <w:jc w:val="center"/>
        <w:rPr>
          <w:b/>
          <w:snapToGrid w:val="0"/>
          <w:sz w:val="32"/>
          <w:szCs w:val="32"/>
        </w:rPr>
      </w:pPr>
    </w:p>
    <w:p w14:paraId="1940C250">
      <w:pPr>
        <w:adjustRightInd w:val="0"/>
        <w:snapToGrid w:val="0"/>
        <w:spacing w:line="300" w:lineRule="auto"/>
        <w:jc w:val="center"/>
        <w:rPr>
          <w:b/>
          <w:snapToGrid w:val="0"/>
          <w:sz w:val="32"/>
          <w:szCs w:val="32"/>
        </w:rPr>
      </w:pPr>
    </w:p>
    <w:p w14:paraId="0FC48803">
      <w:pPr>
        <w:adjustRightInd w:val="0"/>
        <w:snapToGrid w:val="0"/>
        <w:spacing w:line="300" w:lineRule="auto"/>
        <w:jc w:val="center"/>
        <w:rPr>
          <w:b/>
          <w:snapToGrid w:val="0"/>
          <w:sz w:val="32"/>
          <w:szCs w:val="32"/>
        </w:rPr>
      </w:pPr>
    </w:p>
    <w:p w14:paraId="1892F5C8">
      <w:pPr>
        <w:adjustRightInd w:val="0"/>
        <w:snapToGrid w:val="0"/>
        <w:spacing w:line="300" w:lineRule="auto"/>
        <w:jc w:val="center"/>
        <w:rPr>
          <w:b/>
          <w:snapToGrid w:val="0"/>
          <w:sz w:val="32"/>
          <w:szCs w:val="32"/>
        </w:rPr>
      </w:pPr>
    </w:p>
    <w:p w14:paraId="19A0DD09">
      <w:pPr>
        <w:adjustRightInd w:val="0"/>
        <w:snapToGrid w:val="0"/>
        <w:spacing w:line="300" w:lineRule="auto"/>
        <w:jc w:val="center"/>
        <w:rPr>
          <w:b/>
          <w:snapToGrid w:val="0"/>
          <w:sz w:val="32"/>
          <w:szCs w:val="32"/>
        </w:rPr>
      </w:pPr>
    </w:p>
    <w:p w14:paraId="1B006F28">
      <w:pPr>
        <w:adjustRightInd w:val="0"/>
        <w:snapToGrid w:val="0"/>
        <w:spacing w:line="300" w:lineRule="auto"/>
        <w:jc w:val="center"/>
        <w:rPr>
          <w:b/>
          <w:snapToGrid w:val="0"/>
          <w:sz w:val="32"/>
          <w:szCs w:val="32"/>
        </w:rPr>
      </w:pPr>
    </w:p>
    <w:p w14:paraId="1E13924C">
      <w:pPr>
        <w:adjustRightInd w:val="0"/>
        <w:snapToGrid w:val="0"/>
        <w:spacing w:line="300" w:lineRule="auto"/>
        <w:jc w:val="center"/>
        <w:rPr>
          <w:b/>
          <w:snapToGrid w:val="0"/>
          <w:sz w:val="32"/>
          <w:szCs w:val="32"/>
        </w:rPr>
      </w:pPr>
    </w:p>
    <w:p w14:paraId="4F86DF95">
      <w:pPr>
        <w:tabs>
          <w:tab w:val="left" w:pos="555"/>
        </w:tabs>
        <w:adjustRightInd w:val="0"/>
        <w:snapToGrid w:val="0"/>
        <w:spacing w:line="300" w:lineRule="auto"/>
        <w:rPr>
          <w:b/>
          <w:snapToGrid w:val="0"/>
          <w:sz w:val="32"/>
          <w:szCs w:val="32"/>
        </w:rPr>
      </w:pPr>
      <w:r>
        <w:rPr>
          <w:b/>
          <w:snapToGrid w:val="0"/>
          <w:sz w:val="32"/>
          <w:szCs w:val="32"/>
        </w:rPr>
        <w:tab/>
      </w:r>
    </w:p>
    <w:p w14:paraId="69F109FE">
      <w:pPr>
        <w:adjustRightInd w:val="0"/>
        <w:spacing w:line="300" w:lineRule="auto"/>
        <w:ind w:hanging="2"/>
        <w:jc w:val="center"/>
        <w:rPr>
          <w:b/>
          <w:snapToGrid w:val="0"/>
          <w:kern w:val="0"/>
          <w:sz w:val="28"/>
        </w:rPr>
      </w:pPr>
    </w:p>
    <w:p w14:paraId="5C4C0624">
      <w:pPr>
        <w:adjustRightInd w:val="0"/>
        <w:spacing w:line="300" w:lineRule="auto"/>
        <w:ind w:hanging="2"/>
        <w:jc w:val="center"/>
        <w:rPr>
          <w:b/>
          <w:snapToGrid w:val="0"/>
          <w:kern w:val="0"/>
          <w:sz w:val="28"/>
        </w:rPr>
      </w:pPr>
    </w:p>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投标单位：（盖章）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29987FD7">
      <w:pPr>
        <w:adjustRightInd w:val="0"/>
        <w:snapToGrid w:val="0"/>
        <w:spacing w:line="300" w:lineRule="auto"/>
        <w:rPr>
          <w:snapToGrid w:val="0"/>
          <w:kern w:val="0"/>
        </w:rPr>
      </w:pPr>
      <w:r>
        <w:rPr>
          <w:rFonts w:hint="eastAsia"/>
          <w:snapToGrid w:val="0"/>
          <w:kern w:val="0"/>
        </w:rPr>
        <w:t>法定代表人或其授权代表：（签字）</w:t>
      </w: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577165CA">
      <w:pPr>
        <w:adjustRightInd w:val="0"/>
        <w:snapToGrid w:val="0"/>
        <w:spacing w:line="360" w:lineRule="auto"/>
        <w:ind w:firstLine="600"/>
        <w:jc w:val="right"/>
      </w:pPr>
    </w:p>
    <w:p w14:paraId="4F1E7E0A">
      <w:pPr>
        <w:adjustRightInd w:val="0"/>
        <w:snapToGrid w:val="0"/>
        <w:spacing w:line="360" w:lineRule="auto"/>
        <w:ind w:firstLine="600"/>
        <w:jc w:val="right"/>
      </w:pPr>
    </w:p>
    <w:p w14:paraId="45C8307B">
      <w:pPr>
        <w:adjustRightInd w:val="0"/>
        <w:snapToGrid w:val="0"/>
        <w:spacing w:line="360" w:lineRule="auto"/>
        <w:ind w:firstLine="600"/>
        <w:jc w:val="right"/>
      </w:pPr>
    </w:p>
    <w:p w14:paraId="527E067A">
      <w:pPr>
        <w:adjustRightInd w:val="0"/>
        <w:snapToGrid w:val="0"/>
        <w:spacing w:line="360" w:lineRule="auto"/>
        <w:ind w:firstLine="600"/>
        <w:jc w:val="right"/>
      </w:pPr>
    </w:p>
    <w:p w14:paraId="712D1A91">
      <w:pPr>
        <w:adjustRightInd w:val="0"/>
        <w:snapToGrid w:val="0"/>
        <w:spacing w:line="360" w:lineRule="auto"/>
        <w:ind w:firstLine="600"/>
        <w:jc w:val="right"/>
      </w:pPr>
    </w:p>
    <w:p w14:paraId="617537E4">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724BC449">
      <w:pPr>
        <w:adjustRightInd w:val="0"/>
        <w:snapToGrid w:val="0"/>
        <w:spacing w:line="360" w:lineRule="auto"/>
        <w:ind w:firstLine="600"/>
        <w:jc w:val="right"/>
      </w:pPr>
    </w:p>
    <w:p w14:paraId="5580E12C">
      <w:pPr>
        <w:adjustRightInd w:val="0"/>
        <w:snapToGrid w:val="0"/>
        <w:spacing w:line="360" w:lineRule="auto"/>
        <w:ind w:firstLine="600"/>
        <w:jc w:val="right"/>
      </w:pPr>
    </w:p>
    <w:p w14:paraId="78C15DDC">
      <w:pPr>
        <w:adjustRightInd w:val="0"/>
        <w:snapToGrid w:val="0"/>
        <w:spacing w:line="360" w:lineRule="auto"/>
        <w:ind w:firstLine="600"/>
        <w:jc w:val="right"/>
      </w:pPr>
    </w:p>
    <w:p w14:paraId="24B30270">
      <w:pPr>
        <w:adjustRightInd w:val="0"/>
        <w:snapToGrid w:val="0"/>
        <w:spacing w:line="360" w:lineRule="auto"/>
        <w:ind w:firstLine="600"/>
        <w:jc w:val="right"/>
      </w:pPr>
    </w:p>
    <w:p w14:paraId="550E274E">
      <w:pPr>
        <w:adjustRightInd w:val="0"/>
        <w:snapToGrid w:val="0"/>
        <w:spacing w:line="360" w:lineRule="auto"/>
        <w:ind w:firstLine="600"/>
        <w:jc w:val="right"/>
      </w:pPr>
    </w:p>
    <w:p w14:paraId="08BE798B">
      <w:pPr>
        <w:adjustRightInd w:val="0"/>
        <w:snapToGrid w:val="0"/>
        <w:spacing w:line="360" w:lineRule="auto"/>
        <w:ind w:firstLine="600"/>
        <w:jc w:val="right"/>
      </w:pPr>
    </w:p>
    <w:p w14:paraId="512235A5">
      <w:pPr>
        <w:adjustRightInd w:val="0"/>
        <w:snapToGrid w:val="0"/>
        <w:spacing w:line="360" w:lineRule="auto"/>
        <w:ind w:firstLine="600"/>
        <w:jc w:val="right"/>
      </w:pPr>
    </w:p>
    <w:p w14:paraId="1D750776">
      <w:pPr>
        <w:adjustRightInd w:val="0"/>
        <w:snapToGrid w:val="0"/>
        <w:spacing w:line="360" w:lineRule="auto"/>
        <w:ind w:firstLine="600"/>
        <w:jc w:val="right"/>
      </w:pPr>
    </w:p>
    <w:p w14:paraId="527D9C98">
      <w:pPr>
        <w:adjustRightInd w:val="0"/>
        <w:snapToGrid w:val="0"/>
        <w:spacing w:line="360" w:lineRule="auto"/>
        <w:ind w:firstLine="600"/>
        <w:jc w:val="right"/>
      </w:pPr>
    </w:p>
    <w:p w14:paraId="195E18DC">
      <w:pPr>
        <w:adjustRightInd w:val="0"/>
        <w:snapToGrid w:val="0"/>
        <w:spacing w:line="360" w:lineRule="auto"/>
        <w:ind w:firstLine="600"/>
        <w:jc w:val="right"/>
      </w:pPr>
    </w:p>
    <w:p w14:paraId="71051A3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3FB8B666">
      <w:pPr>
        <w:tabs>
          <w:tab w:val="left" w:pos="450"/>
        </w:tabs>
        <w:jc w:val="center"/>
        <w:rPr>
          <w:rFonts w:ascii="宋体" w:hAnsi="宋体"/>
          <w:b/>
          <w:sz w:val="30"/>
          <w:szCs w:val="30"/>
        </w:rPr>
      </w:pPr>
    </w:p>
    <w:p w14:paraId="0077EF00">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投标供应商须提供法定代表人（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的需提供相关说明（格式自拟）。未按要求提供相关材料或投标供应商之间存在法定代表人（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7FD6624E">
      <w:pPr>
        <w:pStyle w:val="2"/>
      </w:pPr>
    </w:p>
    <w:p w14:paraId="65192C1D">
      <w:pPr>
        <w:widowControl/>
        <w:jc w:val="left"/>
        <w:rPr>
          <w:rFonts w:ascii="宋体" w:hAnsi="宋体"/>
          <w:b/>
          <w:sz w:val="28"/>
          <w:szCs w:val="28"/>
        </w:rPr>
      </w:pPr>
      <w:r>
        <w:rPr>
          <w:rFonts w:ascii="宋体" w:hAnsi="宋体"/>
          <w:b/>
          <w:sz w:val="28"/>
          <w:szCs w:val="28"/>
        </w:rPr>
        <w:br w:type="page"/>
      </w:r>
    </w:p>
    <w:p w14:paraId="0C3A8A06">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pPr>
    </w:p>
    <w:p w14:paraId="0800E14B">
      <w:pPr>
        <w:spacing w:line="360" w:lineRule="auto"/>
        <w:ind w:firstLine="539" w:firstLineChars="257"/>
      </w:pPr>
      <w:r>
        <w:rPr>
          <w:rFonts w:hint="eastAsia"/>
        </w:rPr>
        <w:t>单位名称：（公章）</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1E37CE54">
      <w:pPr>
        <w:ind w:firstLine="2249" w:firstLineChars="800"/>
        <w:rPr>
          <w:b/>
          <w:bCs/>
          <w:sz w:val="28"/>
        </w:rPr>
      </w:pPr>
    </w:p>
    <w:p w14:paraId="1C412BBD">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0DD5418D">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单位名称：（公章）</w:t>
      </w:r>
    </w:p>
    <w:p w14:paraId="7C2D8CF3">
      <w:pPr>
        <w:ind w:firstLine="630"/>
      </w:pPr>
    </w:p>
    <w:p w14:paraId="4902E904">
      <w:pPr>
        <w:ind w:firstLine="630"/>
      </w:pPr>
      <w:r>
        <w:rPr>
          <w:rFonts w:hint="eastAsia"/>
        </w:rPr>
        <w:t>法定代表人（负责人）：（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0B25ED37">
      <w:pPr>
        <w:adjustRightInd w:val="0"/>
        <w:snapToGrid w:val="0"/>
        <w:spacing w:line="300" w:lineRule="auto"/>
      </w:pP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324429BC">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（盖章）</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0D7EC80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4D6C63D6">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6916A9D">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EA8B9B">
      <w:pPr>
        <w:spacing w:line="360" w:lineRule="auto"/>
        <w:ind w:firstLine="420" w:firstLineChars="200"/>
        <w:rPr>
          <w:rFonts w:asciiTheme="minorEastAsia" w:hAnsiTheme="minorEastAsia" w:eastAsiaTheme="minorEastAsia"/>
          <w:szCs w:val="21"/>
        </w:rPr>
      </w:pP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1165"/>
      <w:bookmarkStart w:id="68" w:name="_Toc135293186"/>
      <w:bookmarkStart w:id="69" w:name="_Toc44691397"/>
      <w:bookmarkStart w:id="70" w:name="_Toc44690433"/>
      <w:bookmarkStart w:id="71" w:name="_Toc44690706"/>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b/>
                <w:bCs/>
                <w:snapToGrid w:val="0"/>
                <w:kern w:val="0"/>
              </w:rPr>
            </w:pPr>
            <w:r>
              <w:rPr>
                <w:b/>
                <w:bCs/>
                <w:snapToGrid w:val="0"/>
                <w:kern w:val="0"/>
              </w:rPr>
              <w:t>项目名称</w:t>
            </w:r>
          </w:p>
        </w:tc>
        <w:tc>
          <w:tcPr>
            <w:tcW w:w="4034" w:type="dxa"/>
            <w:tcBorders>
              <w:top w:val="double" w:color="auto" w:sz="4" w:space="0"/>
              <w:bottom w:val="single" w:color="auto" w:sz="4" w:space="0"/>
            </w:tcBorders>
            <w:vAlign w:val="center"/>
          </w:tcPr>
          <w:p w14:paraId="21E469A7">
            <w:pPr>
              <w:adjustRightInd w:val="0"/>
              <w:snapToGrid w:val="0"/>
              <w:spacing w:line="360" w:lineRule="auto"/>
              <w:jc w:val="center"/>
              <w:rPr>
                <w:rFonts w:hint="eastAsia"/>
                <w:b/>
                <w:bCs/>
                <w:snapToGrid w:val="0"/>
                <w:kern w:val="0"/>
                <w:lang w:val="en-US" w:eastAsia="zh-CN"/>
              </w:rPr>
            </w:pPr>
            <w:r>
              <w:rPr>
                <w:rFonts w:hint="eastAsia"/>
                <w:b/>
                <w:bCs/>
                <w:snapToGrid w:val="0"/>
                <w:kern w:val="0"/>
                <w:lang w:val="en-US" w:eastAsia="zh-CN"/>
              </w:rPr>
              <w:t>投标报价</w:t>
            </w:r>
          </w:p>
          <w:p w14:paraId="76403EA8">
            <w:pPr>
              <w:adjustRightInd w:val="0"/>
              <w:snapToGrid w:val="0"/>
              <w:spacing w:line="360" w:lineRule="auto"/>
              <w:jc w:val="center"/>
              <w:rPr>
                <w:b/>
                <w:bCs/>
                <w:snapToGrid w:val="0"/>
                <w:kern w:val="0"/>
              </w:rPr>
            </w:pPr>
            <w:r>
              <w:rPr>
                <w:rFonts w:hint="eastAsia"/>
                <w:b/>
                <w:bCs/>
                <w:snapToGrid w:val="0"/>
                <w:kern w:val="0"/>
                <w:lang w:val="en-US" w:eastAsia="zh-CN"/>
              </w:rPr>
              <w:t>（折扣率）</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b/>
                <w:bCs/>
                <w:snapToGrid w:val="0"/>
                <w:kern w:val="0"/>
              </w:rPr>
            </w:pPr>
            <w:r>
              <w:rPr>
                <w:rFonts w:hint="eastAsia"/>
                <w:b/>
                <w:bCs/>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2025年春节慰问品</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投标单位：（盖章）</w:t>
      </w:r>
    </w:p>
    <w:p w14:paraId="10DD2551">
      <w:pPr>
        <w:adjustRightInd w:val="0"/>
        <w:snapToGrid w:val="0"/>
        <w:spacing w:line="360" w:lineRule="auto"/>
        <w:rPr>
          <w:snapToGrid w:val="0"/>
          <w:kern w:val="0"/>
        </w:rPr>
      </w:pPr>
    </w:p>
    <w:p w14:paraId="024E0E51">
      <w:pPr>
        <w:adjustRightInd w:val="0"/>
        <w:snapToGrid w:val="0"/>
        <w:spacing w:line="360" w:lineRule="auto"/>
        <w:rPr>
          <w:snapToGrid w:val="0"/>
          <w:kern w:val="0"/>
        </w:rPr>
      </w:pPr>
    </w:p>
    <w:p w14:paraId="62163265">
      <w:pPr>
        <w:adjustRightInd w:val="0"/>
        <w:snapToGrid w:val="0"/>
        <w:spacing w:line="360" w:lineRule="auto"/>
        <w:rPr>
          <w:snapToGrid w:val="0"/>
          <w:kern w:val="0"/>
        </w:rPr>
      </w:pPr>
      <w:r>
        <w:rPr>
          <w:snapToGrid w:val="0"/>
          <w:kern w:val="0"/>
        </w:rPr>
        <w:t>法定代表人或其授权代表：（签字）</w:t>
      </w: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1D71D2EE">
      <w:pPr>
        <w:adjustRightInd w:val="0"/>
        <w:spacing w:line="312" w:lineRule="auto"/>
        <w:rPr>
          <w:rFonts w:ascii="宋体" w:hAnsi="宋体"/>
          <w:bCs/>
        </w:rPr>
      </w:pPr>
      <w:r>
        <w:rPr>
          <w:rFonts w:ascii="宋体" w:hAnsi="宋体"/>
          <w:snapToGrid w:val="0"/>
          <w:kern w:val="0"/>
        </w:rPr>
        <w:t>注：</w:t>
      </w:r>
      <w:r>
        <w:rPr>
          <w:rFonts w:ascii="宋体" w:hAnsi="宋体"/>
          <w:snapToGrid w:val="0"/>
          <w:kern w:val="0"/>
          <w:highlight w:val="yellow"/>
        </w:rPr>
        <w:t>1</w:t>
      </w:r>
      <w:r>
        <w:rPr>
          <w:rFonts w:hint="eastAsia" w:ascii="宋体" w:hAnsi="宋体"/>
          <w:snapToGrid w:val="0"/>
          <w:kern w:val="0"/>
          <w:highlight w:val="yellow"/>
          <w:lang w:eastAsia="zh-CN"/>
        </w:rPr>
        <w:t>、</w:t>
      </w:r>
      <w:r>
        <w:rPr>
          <w:rFonts w:hint="eastAsia" w:ascii="宋体" w:hAnsi="宋体" w:eastAsia="宋体" w:cs="宋体"/>
          <w:highlight w:val="yellow"/>
        </w:rPr>
        <w:t>投标报价形式为</w:t>
      </w:r>
      <w:r>
        <w:rPr>
          <w:rFonts w:ascii="宋体" w:hAnsi="宋体" w:eastAsia="宋体"/>
          <w:highlight w:val="yellow"/>
        </w:rPr>
        <w:t>“</w:t>
      </w:r>
      <w:r>
        <w:rPr>
          <w:rFonts w:hint="eastAsia" w:ascii="宋体" w:hAnsi="宋体" w:eastAsia="宋体" w:cs="宋体"/>
          <w:highlight w:val="yellow"/>
        </w:rPr>
        <w:t>折扣率</w:t>
      </w:r>
      <w:r>
        <w:rPr>
          <w:rFonts w:ascii="宋体" w:hAnsi="宋体" w:eastAsia="宋体"/>
          <w:highlight w:val="yellow"/>
        </w:rPr>
        <w:t>”</w:t>
      </w:r>
      <w:r>
        <w:rPr>
          <w:rFonts w:hint="eastAsia" w:ascii="宋体" w:hAnsi="宋体" w:eastAsia="宋体" w:cs="宋体"/>
          <w:highlight w:val="yellow"/>
        </w:rPr>
        <w:t>报价，以</w:t>
      </w:r>
      <w:r>
        <w:rPr>
          <w:rFonts w:hint="eastAsia" w:ascii="宋体" w:hAnsi="宋体" w:eastAsia="宋体"/>
          <w:highlight w:val="yellow"/>
        </w:rPr>
        <w:t>3</w:t>
      </w:r>
      <w:r>
        <w:rPr>
          <w:rFonts w:hint="eastAsia" w:ascii="宋体" w:hAnsi="宋体" w:eastAsia="宋体"/>
          <w:highlight w:val="yellow"/>
          <w:lang w:val="en-US" w:eastAsia="zh-CN"/>
        </w:rPr>
        <w:t>06</w:t>
      </w:r>
      <w:r>
        <w:rPr>
          <w:rFonts w:hint="eastAsia" w:ascii="宋体" w:hAnsi="宋体" w:eastAsia="宋体" w:cs="宋体"/>
          <w:highlight w:val="yellow"/>
        </w:rPr>
        <w:t>元为基准数报折扣率。</w:t>
      </w:r>
      <w:r>
        <w:rPr>
          <w:rFonts w:hint="eastAsia" w:ascii="宋体" w:hAnsi="宋体" w:eastAsia="宋体" w:cs="宋体"/>
          <w:b/>
          <w:bCs/>
          <w:highlight w:val="yellow"/>
        </w:rPr>
        <w:t>折扣率按百分比报价</w:t>
      </w:r>
      <w:r>
        <w:rPr>
          <w:rFonts w:hint="eastAsia"/>
          <w:b/>
          <w:bCs/>
          <w:highlight w:val="yellow"/>
          <w:lang w:eastAsia="zh-CN"/>
        </w:rPr>
        <w:t>（并在百分号前按四舍五入法取整）</w:t>
      </w:r>
      <w:r>
        <w:rPr>
          <w:rFonts w:hint="eastAsia" w:ascii="宋体" w:hAnsi="宋体" w:eastAsia="宋体" w:cs="宋体"/>
          <w:b/>
          <w:bCs/>
          <w:highlight w:val="yellow"/>
        </w:rPr>
        <w:t>，折扣率不能低于</w:t>
      </w:r>
      <w:r>
        <w:rPr>
          <w:rFonts w:hint="eastAsia" w:ascii="宋体" w:hAnsi="宋体" w:eastAsia="宋体"/>
          <w:b/>
          <w:bCs/>
          <w:highlight w:val="yellow"/>
        </w:rPr>
        <w:t>0</w:t>
      </w:r>
      <w:r>
        <w:rPr>
          <w:rFonts w:hint="eastAsia" w:ascii="宋体" w:hAnsi="宋体" w:eastAsia="宋体" w:cs="宋体"/>
          <w:b/>
          <w:bCs/>
          <w:highlight w:val="yellow"/>
        </w:rPr>
        <w:t>或高于</w:t>
      </w:r>
      <w:r>
        <w:rPr>
          <w:rFonts w:hint="eastAsia" w:ascii="宋体" w:hAnsi="宋体" w:eastAsia="宋体"/>
          <w:b/>
          <w:bCs/>
          <w:highlight w:val="yellow"/>
        </w:rPr>
        <w:t>1</w:t>
      </w:r>
      <w:r>
        <w:rPr>
          <w:rFonts w:hint="eastAsia" w:ascii="宋体" w:hAnsi="宋体" w:eastAsia="宋体" w:cs="宋体"/>
          <w:b/>
          <w:bCs/>
          <w:highlight w:val="yellow"/>
        </w:rPr>
        <w:t>，否则</w:t>
      </w:r>
      <w:r>
        <w:rPr>
          <w:rFonts w:hint="eastAsia" w:ascii="宋体" w:hAnsi="宋体" w:cs="宋体"/>
          <w:b/>
          <w:bCs/>
          <w:highlight w:val="yellow"/>
          <w:lang w:eastAsia="zh-CN"/>
        </w:rPr>
        <w:t>将</w:t>
      </w:r>
      <w:r>
        <w:rPr>
          <w:rFonts w:hint="eastAsia" w:ascii="宋体" w:hAnsi="宋体" w:eastAsia="宋体" w:cs="宋体"/>
          <w:b/>
          <w:bCs/>
          <w:highlight w:val="yellow"/>
        </w:rPr>
        <w:t>导致投标无效。</w:t>
      </w:r>
      <w:r>
        <w:rPr>
          <w:rFonts w:hint="eastAsia" w:ascii="宋体" w:hAnsi="宋体" w:eastAsia="宋体" w:cs="宋体"/>
          <w:highlight w:val="yellow"/>
        </w:rPr>
        <w:t>计算公式为：</w:t>
      </w:r>
      <w:r>
        <w:rPr>
          <w:rFonts w:hint="eastAsia"/>
          <w:highlight w:val="yellow"/>
          <w:lang w:eastAsia="zh-CN"/>
        </w:rPr>
        <w:t>投标折扣率</w:t>
      </w:r>
      <w:r>
        <w:rPr>
          <w:rFonts w:hint="eastAsia"/>
          <w:highlight w:val="yellow"/>
          <w:lang w:val="en-US" w:eastAsia="zh-CN"/>
        </w:rPr>
        <w:t>=306</w:t>
      </w:r>
      <w:r>
        <w:rPr>
          <w:rFonts w:ascii="宋体" w:hAnsi="宋体" w:eastAsia="宋体"/>
          <w:highlight w:val="yellow"/>
        </w:rPr>
        <w:t>÷</w:t>
      </w:r>
      <w:r>
        <w:rPr>
          <w:rFonts w:hint="eastAsia" w:ascii="宋体" w:hAnsi="宋体" w:eastAsia="宋体" w:cs="宋体"/>
          <w:highlight w:val="yellow"/>
        </w:rPr>
        <w:t>提货券实际使用金额。举例说明：如提货券实际使用金额为</w:t>
      </w:r>
      <w:r>
        <w:rPr>
          <w:rFonts w:hint="eastAsia" w:ascii="宋体" w:hAnsi="宋体" w:eastAsia="宋体" w:cs="宋体"/>
          <w:highlight w:val="yellow"/>
          <w:lang w:val="en-US" w:eastAsia="zh-CN"/>
        </w:rPr>
        <w:t>350元</w:t>
      </w:r>
      <w:r>
        <w:rPr>
          <w:rFonts w:hint="eastAsia" w:ascii="宋体" w:hAnsi="宋体" w:eastAsia="宋体" w:cs="宋体"/>
          <w:highlight w:val="yellow"/>
        </w:rPr>
        <w:t>，</w:t>
      </w:r>
      <w:r>
        <w:rPr>
          <w:rFonts w:hint="eastAsia" w:ascii="宋体" w:hAnsi="宋体" w:eastAsia="宋体" w:cs="宋体"/>
          <w:highlight w:val="yellow"/>
          <w:lang w:eastAsia="zh-CN"/>
        </w:rPr>
        <w:t>则折扣率报价</w:t>
      </w:r>
      <w:r>
        <w:rPr>
          <w:rFonts w:hint="eastAsia" w:ascii="宋体" w:hAnsi="宋体" w:eastAsia="宋体" w:cs="宋体"/>
          <w:highlight w:val="yellow"/>
        </w:rPr>
        <w:t>为3</w:t>
      </w:r>
      <w:r>
        <w:rPr>
          <w:rFonts w:hint="eastAsia" w:ascii="宋体" w:hAnsi="宋体" w:eastAsia="宋体" w:cs="宋体"/>
          <w:highlight w:val="yellow"/>
          <w:lang w:val="en-US" w:eastAsia="zh-CN"/>
        </w:rPr>
        <w:t>06</w:t>
      </w:r>
      <w:r>
        <w:rPr>
          <w:rFonts w:hint="eastAsia" w:ascii="宋体" w:hAnsi="宋体" w:eastAsia="宋体" w:cs="宋体"/>
          <w:highlight w:val="yellow"/>
        </w:rPr>
        <w:t>元÷</w:t>
      </w:r>
      <w:r>
        <w:rPr>
          <w:rFonts w:hint="eastAsia" w:ascii="宋体" w:hAnsi="宋体" w:eastAsia="宋体" w:cs="宋体"/>
          <w:highlight w:val="yellow"/>
          <w:lang w:val="en-US" w:eastAsia="zh-CN"/>
        </w:rPr>
        <w:t>350</w:t>
      </w:r>
      <w:r>
        <w:rPr>
          <w:rFonts w:hint="eastAsia" w:ascii="宋体" w:hAnsi="宋体" w:eastAsia="宋体" w:cs="宋体"/>
          <w:highlight w:val="yellow"/>
        </w:rPr>
        <w:t>≈</w:t>
      </w:r>
      <w:r>
        <w:rPr>
          <w:rFonts w:hint="eastAsia" w:ascii="宋体" w:hAnsi="宋体" w:eastAsia="宋体" w:cs="宋体"/>
          <w:highlight w:val="yellow"/>
          <w:lang w:val="en-US" w:eastAsia="zh-CN"/>
        </w:rPr>
        <w:t>87%</w:t>
      </w:r>
      <w:r>
        <w:rPr>
          <w:rFonts w:hint="eastAsia" w:ascii="宋体" w:hAnsi="宋体" w:eastAsia="宋体" w:cs="宋体"/>
          <w:highlight w:val="yellow"/>
        </w:rPr>
        <w:t>（采购人实付投标人金额为3</w:t>
      </w:r>
      <w:r>
        <w:rPr>
          <w:rFonts w:hint="eastAsia" w:ascii="宋体" w:hAnsi="宋体" w:eastAsia="宋体" w:cs="宋体"/>
          <w:highlight w:val="yellow"/>
          <w:lang w:val="en-US" w:eastAsia="zh-CN"/>
        </w:rPr>
        <w:t>06</w:t>
      </w:r>
      <w:r>
        <w:rPr>
          <w:rFonts w:hint="eastAsia" w:ascii="宋体" w:hAnsi="宋体" w:eastAsia="宋体" w:cs="宋体"/>
          <w:highlight w:val="yellow"/>
        </w:rPr>
        <w:t>元/人）</w:t>
      </w:r>
      <w:r>
        <w:rPr>
          <w:rFonts w:hint="eastAsia" w:ascii="宋体" w:hAnsi="宋体"/>
          <w:snapToGrid w:val="0"/>
          <w:kern w:val="0"/>
          <w:highlight w:val="yellow"/>
        </w:rPr>
        <w:t>。</w:t>
      </w:r>
    </w:p>
    <w:p w14:paraId="59AD4C28">
      <w:pPr>
        <w:adjustRightInd w:val="0"/>
        <w:spacing w:line="312" w:lineRule="auto"/>
        <w:ind w:left="2" w:firstLine="424" w:firstLineChars="202"/>
        <w:rPr>
          <w:rFonts w:ascii="宋体" w:hAnsi="宋体"/>
          <w:bCs/>
        </w:rPr>
      </w:pPr>
      <w:r>
        <w:rPr>
          <w:rFonts w:ascii="宋体" w:hAnsi="宋体"/>
          <w:bCs/>
        </w:rPr>
        <w:t>2、投标报价须是完成该项目的一切费用总和，</w:t>
      </w:r>
      <w:r>
        <w:rPr>
          <w:rFonts w:hint="eastAsia" w:ascii="宋体" w:hAnsi="宋体"/>
          <w:bCs/>
          <w:lang w:val="zh-CN" w:eastAsia="zh-CN"/>
        </w:rPr>
        <w:t>应包括服务成本、法定税费和企业的利润</w:t>
      </w:r>
      <w:r>
        <w:rPr>
          <w:rFonts w:ascii="宋体" w:hAnsi="宋体"/>
          <w:bCs/>
        </w:rPr>
        <w:t>等</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30C6D">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5228FE7D">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2" w:name="_Toc44691398"/>
      <w:bookmarkStart w:id="73" w:name="_Toc44690707"/>
      <w:bookmarkStart w:id="74" w:name="_Toc135293187"/>
      <w:bookmarkStart w:id="75" w:name="_Toc44690434"/>
      <w:bookmarkStart w:id="76" w:name="_Toc44691166"/>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1.2  </w:t>
      </w:r>
      <w:r>
        <w:rPr>
          <w:rFonts w:hint="eastAsia" w:ascii="宋体" w:hAnsi="宋体" w:eastAsia="宋体" w:cs="宋体"/>
          <w:highlight w:val="yellow"/>
        </w:rPr>
        <w:t>投标报价形式为</w:t>
      </w:r>
      <w:r>
        <w:rPr>
          <w:rFonts w:ascii="宋体" w:hAnsi="宋体" w:eastAsia="宋体"/>
          <w:highlight w:val="yellow"/>
        </w:rPr>
        <w:t>“</w:t>
      </w:r>
      <w:r>
        <w:rPr>
          <w:rFonts w:hint="eastAsia" w:ascii="宋体" w:hAnsi="宋体" w:eastAsia="宋体" w:cs="宋体"/>
          <w:highlight w:val="yellow"/>
        </w:rPr>
        <w:t>折扣率</w:t>
      </w:r>
      <w:r>
        <w:rPr>
          <w:rFonts w:ascii="宋体" w:hAnsi="宋体" w:eastAsia="宋体"/>
          <w:highlight w:val="yellow"/>
        </w:rPr>
        <w:t>”</w:t>
      </w:r>
      <w:r>
        <w:rPr>
          <w:rFonts w:hint="eastAsia" w:ascii="宋体" w:hAnsi="宋体" w:eastAsia="宋体" w:cs="宋体"/>
          <w:highlight w:val="yellow"/>
        </w:rPr>
        <w:t>报价，以</w:t>
      </w:r>
      <w:r>
        <w:rPr>
          <w:rFonts w:hint="eastAsia" w:ascii="宋体" w:hAnsi="宋体" w:eastAsia="宋体"/>
          <w:highlight w:val="yellow"/>
        </w:rPr>
        <w:t>3</w:t>
      </w:r>
      <w:r>
        <w:rPr>
          <w:rFonts w:hint="eastAsia" w:ascii="宋体" w:hAnsi="宋体" w:eastAsia="宋体"/>
          <w:highlight w:val="yellow"/>
          <w:lang w:val="en-US" w:eastAsia="zh-CN"/>
        </w:rPr>
        <w:t>06</w:t>
      </w:r>
      <w:r>
        <w:rPr>
          <w:rFonts w:hint="eastAsia" w:ascii="宋体" w:hAnsi="宋体" w:eastAsia="宋体" w:cs="宋体"/>
          <w:highlight w:val="yellow"/>
        </w:rPr>
        <w:t>元为基准数报折扣率。</w:t>
      </w:r>
      <w:r>
        <w:rPr>
          <w:rFonts w:hint="eastAsia" w:ascii="宋体" w:hAnsi="宋体" w:eastAsia="宋体" w:cs="宋体"/>
          <w:b/>
          <w:bCs/>
          <w:highlight w:val="yellow"/>
        </w:rPr>
        <w:t>折扣率按百分比报价</w:t>
      </w:r>
      <w:r>
        <w:rPr>
          <w:rFonts w:hint="eastAsia"/>
          <w:b/>
          <w:bCs/>
          <w:highlight w:val="yellow"/>
          <w:lang w:eastAsia="zh-CN"/>
        </w:rPr>
        <w:t>（并在百分号前按四舍五入法取整）</w:t>
      </w:r>
      <w:r>
        <w:rPr>
          <w:rFonts w:hint="eastAsia" w:ascii="宋体" w:hAnsi="宋体" w:eastAsia="宋体" w:cs="宋体"/>
          <w:b/>
          <w:bCs/>
          <w:highlight w:val="yellow"/>
        </w:rPr>
        <w:t>，折扣率不能低于</w:t>
      </w:r>
      <w:r>
        <w:rPr>
          <w:rFonts w:hint="eastAsia" w:ascii="宋体" w:hAnsi="宋体" w:eastAsia="宋体"/>
          <w:b/>
          <w:bCs/>
          <w:highlight w:val="yellow"/>
        </w:rPr>
        <w:t>0</w:t>
      </w:r>
      <w:r>
        <w:rPr>
          <w:rFonts w:hint="eastAsia" w:ascii="宋体" w:hAnsi="宋体" w:eastAsia="宋体" w:cs="宋体"/>
          <w:b/>
          <w:bCs/>
          <w:highlight w:val="yellow"/>
        </w:rPr>
        <w:t>或高于</w:t>
      </w:r>
      <w:r>
        <w:rPr>
          <w:rFonts w:hint="eastAsia" w:ascii="宋体" w:hAnsi="宋体" w:eastAsia="宋体"/>
          <w:b/>
          <w:bCs/>
          <w:highlight w:val="yellow"/>
        </w:rPr>
        <w:t>1</w:t>
      </w:r>
      <w:r>
        <w:rPr>
          <w:rFonts w:hint="eastAsia" w:ascii="宋体" w:hAnsi="宋体" w:eastAsia="宋体" w:cs="宋体"/>
          <w:b/>
          <w:bCs/>
          <w:highlight w:val="yellow"/>
        </w:rPr>
        <w:t>，否则</w:t>
      </w:r>
      <w:r>
        <w:rPr>
          <w:rFonts w:hint="eastAsia" w:ascii="宋体" w:hAnsi="宋体" w:cs="宋体"/>
          <w:b/>
          <w:bCs/>
          <w:highlight w:val="yellow"/>
          <w:lang w:eastAsia="zh-CN"/>
        </w:rPr>
        <w:t>将</w:t>
      </w:r>
      <w:r>
        <w:rPr>
          <w:rFonts w:hint="eastAsia" w:ascii="宋体" w:hAnsi="宋体" w:eastAsia="宋体" w:cs="宋体"/>
          <w:b/>
          <w:bCs/>
          <w:highlight w:val="yellow"/>
        </w:rPr>
        <w:t>导致投标无效。</w:t>
      </w:r>
      <w:r>
        <w:rPr>
          <w:rFonts w:hint="eastAsia" w:ascii="宋体" w:hAnsi="宋体" w:eastAsia="宋体" w:cs="宋体"/>
          <w:highlight w:val="yellow"/>
        </w:rPr>
        <w:t>计算公式为：</w:t>
      </w:r>
      <w:r>
        <w:rPr>
          <w:rFonts w:hint="eastAsia"/>
          <w:highlight w:val="yellow"/>
          <w:lang w:eastAsia="zh-CN"/>
        </w:rPr>
        <w:t>投标折扣率</w:t>
      </w:r>
      <w:r>
        <w:rPr>
          <w:rFonts w:hint="eastAsia"/>
          <w:highlight w:val="yellow"/>
          <w:lang w:val="en-US" w:eastAsia="zh-CN"/>
        </w:rPr>
        <w:t>=306</w:t>
      </w:r>
      <w:r>
        <w:rPr>
          <w:rFonts w:ascii="宋体" w:hAnsi="宋体" w:eastAsia="宋体"/>
          <w:highlight w:val="yellow"/>
        </w:rPr>
        <w:t>÷</w:t>
      </w:r>
      <w:r>
        <w:rPr>
          <w:rFonts w:hint="eastAsia" w:ascii="宋体" w:hAnsi="宋体" w:eastAsia="宋体" w:cs="宋体"/>
          <w:highlight w:val="yellow"/>
        </w:rPr>
        <w:t>提货券实际使用金额。举例说明：如提货券实际使用金额为</w:t>
      </w:r>
      <w:r>
        <w:rPr>
          <w:rFonts w:hint="eastAsia" w:ascii="宋体" w:hAnsi="宋体" w:eastAsia="宋体" w:cs="宋体"/>
          <w:highlight w:val="yellow"/>
          <w:lang w:val="en-US" w:eastAsia="zh-CN"/>
        </w:rPr>
        <w:t>350元</w:t>
      </w:r>
      <w:r>
        <w:rPr>
          <w:rFonts w:hint="eastAsia" w:ascii="宋体" w:hAnsi="宋体" w:eastAsia="宋体" w:cs="宋体"/>
          <w:highlight w:val="yellow"/>
        </w:rPr>
        <w:t>，</w:t>
      </w:r>
      <w:r>
        <w:rPr>
          <w:rFonts w:hint="eastAsia" w:ascii="宋体" w:hAnsi="宋体" w:eastAsia="宋体" w:cs="宋体"/>
          <w:highlight w:val="yellow"/>
          <w:lang w:eastAsia="zh-CN"/>
        </w:rPr>
        <w:t>则折扣率报价</w:t>
      </w:r>
      <w:r>
        <w:rPr>
          <w:rFonts w:hint="eastAsia" w:ascii="宋体" w:hAnsi="宋体" w:eastAsia="宋体" w:cs="宋体"/>
          <w:highlight w:val="yellow"/>
        </w:rPr>
        <w:t>为3</w:t>
      </w:r>
      <w:r>
        <w:rPr>
          <w:rFonts w:hint="eastAsia" w:ascii="宋体" w:hAnsi="宋体" w:eastAsia="宋体" w:cs="宋体"/>
          <w:highlight w:val="yellow"/>
          <w:lang w:val="en-US" w:eastAsia="zh-CN"/>
        </w:rPr>
        <w:t>06</w:t>
      </w:r>
      <w:r>
        <w:rPr>
          <w:rFonts w:hint="eastAsia" w:ascii="宋体" w:hAnsi="宋体" w:eastAsia="宋体" w:cs="宋体"/>
          <w:highlight w:val="yellow"/>
        </w:rPr>
        <w:t>元÷</w:t>
      </w:r>
      <w:r>
        <w:rPr>
          <w:rFonts w:hint="eastAsia" w:ascii="宋体" w:hAnsi="宋体" w:eastAsia="宋体" w:cs="宋体"/>
          <w:highlight w:val="yellow"/>
          <w:lang w:val="en-US" w:eastAsia="zh-CN"/>
        </w:rPr>
        <w:t>350</w:t>
      </w:r>
      <w:r>
        <w:rPr>
          <w:rFonts w:hint="eastAsia" w:ascii="宋体" w:hAnsi="宋体" w:eastAsia="宋体" w:cs="宋体"/>
          <w:highlight w:val="yellow"/>
        </w:rPr>
        <w:t>≈</w:t>
      </w:r>
      <w:r>
        <w:rPr>
          <w:rFonts w:hint="eastAsia" w:ascii="宋体" w:hAnsi="宋体" w:eastAsia="宋体" w:cs="宋体"/>
          <w:highlight w:val="yellow"/>
          <w:lang w:val="en-US" w:eastAsia="zh-CN"/>
        </w:rPr>
        <w:t>87%</w:t>
      </w:r>
      <w:r>
        <w:rPr>
          <w:rFonts w:hint="eastAsia" w:ascii="宋体" w:hAnsi="宋体" w:eastAsia="宋体" w:cs="宋体"/>
          <w:highlight w:val="yellow"/>
        </w:rPr>
        <w:t>（采购人实付投标人金额为3</w:t>
      </w:r>
      <w:r>
        <w:rPr>
          <w:rFonts w:hint="eastAsia" w:ascii="宋体" w:hAnsi="宋体" w:eastAsia="宋体" w:cs="宋体"/>
          <w:highlight w:val="yellow"/>
          <w:lang w:val="en-US" w:eastAsia="zh-CN"/>
        </w:rPr>
        <w:t>06</w:t>
      </w:r>
      <w:r>
        <w:rPr>
          <w:rFonts w:hint="eastAsia" w:ascii="宋体" w:hAnsi="宋体" w:eastAsia="宋体" w:cs="宋体"/>
          <w:highlight w:val="yellow"/>
        </w:rPr>
        <w:t>元/人）</w:t>
      </w:r>
      <w:r>
        <w:rPr>
          <w:rFonts w:hint="eastAsia" w:ascii="宋体" w:hAnsi="宋体"/>
          <w:snapToGrid w:val="0"/>
          <w:kern w:val="0"/>
          <w:highlight w:val="yellow"/>
        </w:rPr>
        <w:t>。</w:t>
      </w:r>
    </w:p>
    <w:p w14:paraId="7EDFA7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2C7BC03">
      <w:pPr>
        <w:adjustRightInd w:val="0"/>
        <w:snapToGrid w:val="0"/>
        <w:spacing w:line="300" w:lineRule="auto"/>
        <w:rPr>
          <w:snapToGrid w:val="0"/>
          <w:kern w:val="0"/>
        </w:rPr>
      </w:pPr>
    </w:p>
    <w:p w14:paraId="5EF9319D">
      <w:pPr>
        <w:spacing w:line="300" w:lineRule="auto"/>
        <w:rPr>
          <w:rFonts w:hint="eastAsia"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6AA82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0849119E">
            <w:pPr>
              <w:adjustRightInd w:val="0"/>
              <w:snapToGrid w:val="0"/>
              <w:spacing w:line="360" w:lineRule="auto"/>
              <w:jc w:val="center"/>
              <w:rPr>
                <w:b/>
                <w:bCs/>
                <w:snapToGrid w:val="0"/>
                <w:kern w:val="0"/>
              </w:rPr>
            </w:pPr>
            <w:r>
              <w:rPr>
                <w:b/>
                <w:bCs/>
                <w:snapToGrid w:val="0"/>
                <w:kern w:val="0"/>
              </w:rPr>
              <w:t>项目名称</w:t>
            </w:r>
          </w:p>
        </w:tc>
        <w:tc>
          <w:tcPr>
            <w:tcW w:w="4034" w:type="dxa"/>
            <w:tcBorders>
              <w:top w:val="double" w:color="auto" w:sz="4" w:space="0"/>
              <w:bottom w:val="single" w:color="auto" w:sz="4" w:space="0"/>
            </w:tcBorders>
            <w:vAlign w:val="center"/>
          </w:tcPr>
          <w:p w14:paraId="31F8E56D">
            <w:pPr>
              <w:adjustRightInd w:val="0"/>
              <w:snapToGrid w:val="0"/>
              <w:spacing w:line="360" w:lineRule="auto"/>
              <w:jc w:val="center"/>
              <w:rPr>
                <w:rFonts w:hint="eastAsia"/>
                <w:b/>
                <w:bCs/>
                <w:snapToGrid w:val="0"/>
                <w:kern w:val="0"/>
                <w:lang w:val="en-US" w:eastAsia="zh-CN"/>
              </w:rPr>
            </w:pPr>
            <w:r>
              <w:rPr>
                <w:rFonts w:hint="eastAsia"/>
                <w:b/>
                <w:bCs/>
                <w:snapToGrid w:val="0"/>
                <w:kern w:val="0"/>
                <w:lang w:val="en-US" w:eastAsia="zh-CN"/>
              </w:rPr>
              <w:t>投标报价</w:t>
            </w:r>
          </w:p>
          <w:p w14:paraId="62CFD1C0">
            <w:pPr>
              <w:adjustRightInd w:val="0"/>
              <w:snapToGrid w:val="0"/>
              <w:spacing w:line="360" w:lineRule="auto"/>
              <w:jc w:val="center"/>
              <w:rPr>
                <w:b/>
                <w:bCs/>
                <w:snapToGrid w:val="0"/>
                <w:kern w:val="0"/>
              </w:rPr>
            </w:pPr>
            <w:r>
              <w:rPr>
                <w:rFonts w:hint="eastAsia"/>
                <w:b/>
                <w:bCs/>
                <w:snapToGrid w:val="0"/>
                <w:kern w:val="0"/>
                <w:lang w:val="en-US" w:eastAsia="zh-CN"/>
              </w:rPr>
              <w:t>（折扣率）</w:t>
            </w:r>
          </w:p>
        </w:tc>
        <w:tc>
          <w:tcPr>
            <w:tcW w:w="1843" w:type="dxa"/>
            <w:tcBorders>
              <w:top w:val="double" w:color="auto" w:sz="4" w:space="0"/>
              <w:bottom w:val="single" w:color="auto" w:sz="4" w:space="0"/>
            </w:tcBorders>
            <w:vAlign w:val="center"/>
          </w:tcPr>
          <w:p w14:paraId="4A1E273E">
            <w:pPr>
              <w:adjustRightInd w:val="0"/>
              <w:snapToGrid w:val="0"/>
              <w:spacing w:line="360" w:lineRule="auto"/>
              <w:jc w:val="center"/>
              <w:rPr>
                <w:b/>
                <w:bCs/>
                <w:snapToGrid w:val="0"/>
                <w:kern w:val="0"/>
              </w:rPr>
            </w:pPr>
            <w:r>
              <w:rPr>
                <w:rFonts w:hint="eastAsia"/>
                <w:b/>
                <w:bCs/>
                <w:snapToGrid w:val="0"/>
                <w:kern w:val="0"/>
              </w:rPr>
              <w:t>备注</w:t>
            </w:r>
          </w:p>
        </w:tc>
      </w:tr>
      <w:tr w14:paraId="18A4EF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6D0E94FD">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2025年春节慰问品</w:t>
            </w:r>
          </w:p>
        </w:tc>
        <w:tc>
          <w:tcPr>
            <w:tcW w:w="4034" w:type="dxa"/>
            <w:tcBorders>
              <w:top w:val="single" w:color="auto" w:sz="4" w:space="0"/>
            </w:tcBorders>
            <w:vAlign w:val="center"/>
          </w:tcPr>
          <w:p w14:paraId="0BFD5111">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6D8E5C6">
            <w:pPr>
              <w:adjustRightInd w:val="0"/>
              <w:snapToGrid w:val="0"/>
              <w:spacing w:line="360" w:lineRule="auto"/>
              <w:jc w:val="center"/>
              <w:rPr>
                <w:snapToGrid w:val="0"/>
                <w:kern w:val="0"/>
              </w:rPr>
            </w:pPr>
          </w:p>
        </w:tc>
      </w:tr>
    </w:tbl>
    <w:p w14:paraId="521542D1">
      <w:pPr>
        <w:spacing w:line="300" w:lineRule="auto"/>
        <w:rPr>
          <w:rFonts w:hint="eastAsia" w:eastAsia="楷体_GB2312"/>
          <w:b/>
          <w:sz w:val="24"/>
        </w:rPr>
      </w:pPr>
    </w:p>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lang w:eastAsia="zh-CN"/>
        </w:rPr>
        <w:t>报</w:t>
      </w:r>
      <w:r>
        <w:rPr>
          <w:rFonts w:hint="eastAsia" w:asciiTheme="minorEastAsia" w:hAnsiTheme="minorEastAsia" w:eastAsiaTheme="minorEastAsia"/>
        </w:rPr>
        <w:t>价应与本表中的</w:t>
      </w:r>
      <w:r>
        <w:rPr>
          <w:rFonts w:hint="eastAsia" w:asciiTheme="minorEastAsia" w:hAnsiTheme="minorEastAsia" w:eastAsiaTheme="minorEastAsia"/>
          <w:lang w:eastAsia="zh-CN"/>
        </w:rPr>
        <w:t>折扣率</w:t>
      </w:r>
      <w:r>
        <w:rPr>
          <w:rFonts w:hint="eastAsia" w:asciiTheme="minorEastAsia" w:hAnsiTheme="minorEastAsia" w:eastAsiaTheme="minorEastAsia"/>
        </w:rPr>
        <w:t>报价一致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投标单位：（盖章）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4375669">
      <w:pPr>
        <w:adjustRightInd w:val="0"/>
        <w:snapToGrid w:val="0"/>
        <w:spacing w:line="300" w:lineRule="auto"/>
        <w:rPr>
          <w:snapToGrid w:val="0"/>
          <w:kern w:val="0"/>
        </w:rPr>
      </w:pPr>
    </w:p>
    <w:p w14:paraId="4B4654FA">
      <w:pPr>
        <w:adjustRightInd w:val="0"/>
        <w:snapToGrid w:val="0"/>
        <w:spacing w:line="300" w:lineRule="auto"/>
        <w:rPr>
          <w:snapToGrid w:val="0"/>
          <w:kern w:val="0"/>
        </w:rPr>
      </w:pPr>
      <w:r>
        <w:rPr>
          <w:rFonts w:hint="eastAsia"/>
          <w:snapToGrid w:val="0"/>
          <w:kern w:val="0"/>
        </w:rPr>
        <w:t>法定代表人或其授权代表：（签字）</w:t>
      </w: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77" w:name="_Toc44691399"/>
      <w:bookmarkStart w:id="78" w:name="_Toc135293188"/>
      <w:bookmarkStart w:id="79" w:name="_Toc44690435"/>
      <w:bookmarkStart w:id="80" w:name="_Toc44691167"/>
      <w:bookmarkStart w:id="81" w:name="_Toc44690708"/>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ascii="宋体" w:hAnsi="宋体" w:eastAsia="宋体" w:cs="宋体"/>
          <w:szCs w:val="21"/>
        </w:rPr>
        <w:t>供货服务方案</w:t>
      </w:r>
    </w:p>
    <w:p w14:paraId="73FB428F">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eastAsia="宋体"/>
          <w:szCs w:val="21"/>
        </w:rPr>
        <w:t>售后服务方案</w:t>
      </w:r>
    </w:p>
    <w:p w14:paraId="1DD75486">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eastAsia="宋体" w:cs="宋体"/>
          <w:color w:val="000000"/>
          <w:szCs w:val="21"/>
        </w:rPr>
        <w:t>应急预案</w:t>
      </w:r>
    </w:p>
    <w:p w14:paraId="42066D9D">
      <w:pPr>
        <w:spacing w:line="360" w:lineRule="auto"/>
        <w:ind w:firstLine="420" w:firstLineChars="200"/>
        <w:rPr>
          <w:rFonts w:hint="eastAsia" w:ascii="宋体" w:hAnsi="宋体" w:eastAsia="宋体" w:cs="宋体"/>
          <w:color w:val="000000"/>
          <w:szCs w:val="21"/>
        </w:rPr>
      </w:pPr>
      <w:r>
        <w:rPr>
          <w:rFonts w:hint="eastAsia" w:ascii="宋体" w:hAnsi="宋体" w:cs="宋体"/>
          <w:szCs w:val="21"/>
        </w:rPr>
        <w:t>4、</w:t>
      </w:r>
      <w:r>
        <w:rPr>
          <w:rFonts w:hint="eastAsia" w:ascii="宋体" w:hAnsi="宋体" w:eastAsia="宋体" w:cs="宋体"/>
          <w:color w:val="000000"/>
          <w:szCs w:val="21"/>
        </w:rPr>
        <w:t>食品安全保险</w:t>
      </w:r>
    </w:p>
    <w:p w14:paraId="16B538EF">
      <w:pPr>
        <w:spacing w:line="360" w:lineRule="auto"/>
        <w:ind w:firstLine="420" w:firstLineChars="200"/>
        <w:rPr>
          <w:rFonts w:hint="eastAsia" w:ascii="宋体" w:hAnsi="宋体" w:eastAsia="宋体" w:cs="宋体"/>
          <w:szCs w:val="21"/>
        </w:rPr>
      </w:pPr>
      <w:r>
        <w:rPr>
          <w:rFonts w:hint="eastAsia" w:ascii="宋体" w:hAnsi="宋体" w:cs="宋体"/>
          <w:color w:val="000000"/>
          <w:szCs w:val="21"/>
          <w:lang w:val="en-US" w:eastAsia="zh-CN"/>
        </w:rPr>
        <w:t>5、</w:t>
      </w:r>
      <w:r>
        <w:rPr>
          <w:rFonts w:hint="eastAsia" w:ascii="宋体" w:hAnsi="宋体" w:eastAsia="宋体" w:cs="宋体"/>
          <w:szCs w:val="21"/>
        </w:rPr>
        <w:t>投标人通过相关认证情况</w:t>
      </w:r>
    </w:p>
    <w:p w14:paraId="7C982EF6">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同类业绩</w:t>
      </w:r>
    </w:p>
    <w:p w14:paraId="25EE6248">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7、</w:t>
      </w:r>
      <w:r>
        <w:rPr>
          <w:rFonts w:hint="eastAsia" w:ascii="宋体" w:hAnsi="宋体" w:eastAsia="宋体" w:cs="宋体"/>
          <w:szCs w:val="21"/>
        </w:rPr>
        <w:t>履约评价</w:t>
      </w:r>
    </w:p>
    <w:p w14:paraId="4E820BA0">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8、</w:t>
      </w:r>
      <w:r>
        <w:rPr>
          <w:rFonts w:hint="eastAsia" w:ascii="宋体" w:hAnsi="宋体" w:eastAsia="宋体" w:cs="宋体"/>
          <w:szCs w:val="21"/>
        </w:rPr>
        <w:t>服务便捷性</w:t>
      </w:r>
    </w:p>
    <w:p w14:paraId="053D73BC">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9、</w:t>
      </w:r>
      <w:r>
        <w:rPr>
          <w:rFonts w:hint="eastAsia" w:ascii="宋体" w:hAnsi="宋体" w:eastAsia="宋体" w:cs="宋体"/>
          <w:szCs w:val="21"/>
        </w:rPr>
        <w:t>诚信评价</w:t>
      </w:r>
    </w:p>
    <w:p w14:paraId="5D4F00B9">
      <w:pPr>
        <w:spacing w:line="360" w:lineRule="auto"/>
        <w:ind w:firstLine="420" w:firstLineChars="200"/>
        <w:rPr>
          <w:rFonts w:ascii="宋体" w:hAnsi="宋体"/>
          <w:szCs w:val="21"/>
        </w:rPr>
      </w:pPr>
      <w:r>
        <w:rPr>
          <w:rFonts w:hint="eastAsia" w:ascii="宋体" w:hAnsi="宋体"/>
          <w:szCs w:val="21"/>
          <w:lang w:val="en-US" w:eastAsia="zh-CN"/>
        </w:rPr>
        <w:t>10</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lang w:val="en-US" w:eastAsia="zh-CN"/>
        </w:rPr>
        <w:t>11</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3C2EAB1A">
      <w:pPr>
        <w:adjustRightInd w:val="0"/>
        <w:snapToGrid w:val="0"/>
        <w:spacing w:line="300" w:lineRule="auto"/>
        <w:rPr>
          <w:snapToGrid w:val="0"/>
          <w:kern w:val="0"/>
        </w:rPr>
      </w:pPr>
      <w:r>
        <w:rPr>
          <w:rFonts w:hint="eastAsia"/>
          <w:snapToGrid w:val="0"/>
          <w:kern w:val="0"/>
        </w:rPr>
        <w:t>投标单位：（盖章）</w:t>
      </w:r>
    </w:p>
    <w:p w14:paraId="7E1CB2A4">
      <w:pPr>
        <w:adjustRightInd w:val="0"/>
        <w:snapToGrid w:val="0"/>
        <w:spacing w:line="300" w:lineRule="auto"/>
        <w:rPr>
          <w:snapToGrid w:val="0"/>
          <w:kern w:val="0"/>
        </w:rPr>
      </w:pPr>
    </w:p>
    <w:p w14:paraId="5F003F41">
      <w:pPr>
        <w:adjustRightInd w:val="0"/>
        <w:snapToGrid w:val="0"/>
        <w:spacing w:line="300" w:lineRule="auto"/>
        <w:rPr>
          <w:snapToGrid w:val="0"/>
          <w:kern w:val="0"/>
        </w:rPr>
      </w:pPr>
    </w:p>
    <w:p w14:paraId="59F8AEA2">
      <w:pPr>
        <w:adjustRightInd w:val="0"/>
        <w:snapToGrid w:val="0"/>
        <w:spacing w:line="300" w:lineRule="auto"/>
        <w:rPr>
          <w:snapToGrid w:val="0"/>
          <w:kern w:val="0"/>
        </w:rPr>
      </w:pPr>
      <w:r>
        <w:rPr>
          <w:rFonts w:hint="eastAsia"/>
          <w:snapToGrid w:val="0"/>
          <w:kern w:val="0"/>
        </w:rPr>
        <w:t>法定代表人或其授权代表：（签字）</w:t>
      </w:r>
    </w:p>
    <w:p w14:paraId="2C833205">
      <w:pPr>
        <w:adjustRightInd w:val="0"/>
        <w:snapToGrid w:val="0"/>
        <w:spacing w:line="300" w:lineRule="auto"/>
        <w:rPr>
          <w:snapToGrid w:val="0"/>
          <w:kern w:val="0"/>
        </w:rPr>
      </w:pPr>
    </w:p>
    <w:p w14:paraId="39650309">
      <w:pPr>
        <w:adjustRightInd w:val="0"/>
        <w:snapToGrid w:val="0"/>
        <w:spacing w:line="300" w:lineRule="auto"/>
        <w:rPr>
          <w:snapToGrid w:val="0"/>
          <w:kern w:val="0"/>
        </w:rPr>
      </w:pPr>
    </w:p>
    <w:p w14:paraId="1294C8E4">
      <w:pPr>
        <w:wordWrap w:val="0"/>
        <w:adjustRightInd w:val="0"/>
        <w:snapToGrid w:val="0"/>
        <w:spacing w:line="300" w:lineRule="auto"/>
        <w:jc w:val="right"/>
        <w:rPr>
          <w:snapToGrid w:val="0"/>
          <w:kern w:val="0"/>
        </w:rPr>
      </w:pPr>
      <w:r>
        <w:rPr>
          <w:rFonts w:hint="eastAsia"/>
          <w:snapToGrid w:val="0"/>
          <w:kern w:val="0"/>
        </w:rPr>
        <w:t>年    月   日</w:t>
      </w:r>
    </w:p>
    <w:p w14:paraId="4902D934">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投标单位：（盖章）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0F8BECE1">
      <w:pPr>
        <w:adjustRightInd w:val="0"/>
        <w:snapToGrid w:val="0"/>
        <w:spacing w:line="300" w:lineRule="auto"/>
        <w:rPr>
          <w:snapToGrid w:val="0"/>
          <w:kern w:val="0"/>
        </w:rPr>
      </w:pPr>
    </w:p>
    <w:p w14:paraId="6396C76F">
      <w:pPr>
        <w:adjustRightInd w:val="0"/>
        <w:snapToGrid w:val="0"/>
        <w:spacing w:line="300" w:lineRule="auto"/>
        <w:rPr>
          <w:snapToGrid w:val="0"/>
          <w:kern w:val="0"/>
        </w:rPr>
      </w:pPr>
      <w:r>
        <w:rPr>
          <w:rFonts w:hint="eastAsia"/>
          <w:snapToGrid w:val="0"/>
          <w:kern w:val="0"/>
        </w:rPr>
        <w:t>法定代表人或其授权代表：（签字）</w:t>
      </w: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2"/>
      </w:pPr>
    </w:p>
    <w:p w14:paraId="241FDC79"/>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3" w:name="_Toc44690436"/>
      <w:bookmarkStart w:id="84" w:name="_Toc44691168"/>
      <w:bookmarkStart w:id="85" w:name="_Toc44691400"/>
      <w:bookmarkStart w:id="86" w:name="_Toc44690709"/>
      <w:bookmarkStart w:id="87" w:name="_Toc135293190"/>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7741BF4F">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407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067B1D5B">
            <w:pPr>
              <w:rPr>
                <w:rFonts w:ascii="宋体" w:hAnsi="宋体"/>
                <w:szCs w:val="21"/>
              </w:rPr>
            </w:pPr>
            <w:r>
              <w:rPr>
                <w:rFonts w:hint="eastAsia" w:ascii="宋体" w:hAnsi="宋体"/>
                <w:szCs w:val="21"/>
              </w:rPr>
              <w:t>序号</w:t>
            </w:r>
          </w:p>
        </w:tc>
        <w:tc>
          <w:tcPr>
            <w:tcW w:w="2010" w:type="dxa"/>
            <w:vAlign w:val="center"/>
          </w:tcPr>
          <w:p w14:paraId="363E53C1">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3785FDAC">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4884D90C">
            <w:pPr>
              <w:ind w:left="136" w:leftChars="65"/>
              <w:jc w:val="center"/>
              <w:rPr>
                <w:rFonts w:ascii="宋体" w:hAnsi="宋体"/>
                <w:szCs w:val="21"/>
              </w:rPr>
            </w:pPr>
            <w:r>
              <w:rPr>
                <w:rFonts w:hint="eastAsia" w:ascii="宋体" w:hAnsi="宋体"/>
                <w:szCs w:val="21"/>
              </w:rPr>
              <w:t>偏离情况</w:t>
            </w:r>
          </w:p>
        </w:tc>
        <w:tc>
          <w:tcPr>
            <w:tcW w:w="1974" w:type="dxa"/>
            <w:vAlign w:val="center"/>
          </w:tcPr>
          <w:p w14:paraId="4C42A71D">
            <w:pPr>
              <w:ind w:left="136" w:leftChars="65"/>
              <w:jc w:val="center"/>
              <w:rPr>
                <w:rFonts w:ascii="宋体" w:hAnsi="宋体"/>
                <w:szCs w:val="21"/>
              </w:rPr>
            </w:pPr>
            <w:r>
              <w:rPr>
                <w:rFonts w:hint="eastAsia" w:ascii="宋体" w:hAnsi="宋体"/>
                <w:szCs w:val="21"/>
              </w:rPr>
              <w:t>说明</w:t>
            </w:r>
          </w:p>
        </w:tc>
      </w:tr>
      <w:tr w14:paraId="04ED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0C9C27E1">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1BA0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66D629D4">
            <w:pPr>
              <w:ind w:left="136" w:leftChars="65"/>
              <w:jc w:val="center"/>
              <w:rPr>
                <w:rFonts w:ascii="宋体" w:hAnsi="宋体"/>
                <w:szCs w:val="21"/>
              </w:rPr>
            </w:pPr>
            <w:r>
              <w:rPr>
                <w:rFonts w:hint="eastAsia" w:ascii="宋体" w:hAnsi="宋体"/>
                <w:szCs w:val="21"/>
              </w:rPr>
              <w:t>1</w:t>
            </w:r>
          </w:p>
        </w:tc>
        <w:tc>
          <w:tcPr>
            <w:tcW w:w="2010" w:type="dxa"/>
            <w:vAlign w:val="center"/>
          </w:tcPr>
          <w:p w14:paraId="610EC86A">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5DB37FCD">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52615460">
            <w:pPr>
              <w:ind w:left="136" w:leftChars="65"/>
              <w:jc w:val="center"/>
              <w:rPr>
                <w:rFonts w:ascii="宋体" w:hAnsi="宋体"/>
                <w:szCs w:val="21"/>
              </w:rPr>
            </w:pPr>
          </w:p>
        </w:tc>
        <w:tc>
          <w:tcPr>
            <w:tcW w:w="1974" w:type="dxa"/>
            <w:vAlign w:val="center"/>
          </w:tcPr>
          <w:p w14:paraId="6F7B9490">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61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3129FFB2">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59B0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6FB640F7">
            <w:pPr>
              <w:jc w:val="center"/>
              <w:rPr>
                <w:rFonts w:ascii="宋体" w:hAnsi="宋体"/>
                <w:szCs w:val="21"/>
              </w:rPr>
            </w:pPr>
            <w:r>
              <w:rPr>
                <w:rFonts w:hint="eastAsia" w:ascii="宋体" w:hAnsi="宋体"/>
              </w:rPr>
              <w:t>1</w:t>
            </w:r>
          </w:p>
        </w:tc>
        <w:tc>
          <w:tcPr>
            <w:tcW w:w="2010" w:type="dxa"/>
            <w:vAlign w:val="center"/>
          </w:tcPr>
          <w:p w14:paraId="21115B55">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1FF67135">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4BCAFC20">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0FD10017">
            <w:pPr>
              <w:ind w:left="136" w:leftChars="65"/>
              <w:jc w:val="center"/>
              <w:rPr>
                <w:rFonts w:ascii="宋体" w:hAnsi="宋体"/>
                <w:szCs w:val="21"/>
              </w:rPr>
            </w:pPr>
          </w:p>
        </w:tc>
        <w:tc>
          <w:tcPr>
            <w:tcW w:w="1974" w:type="dxa"/>
            <w:vAlign w:val="center"/>
          </w:tcPr>
          <w:p w14:paraId="1C2CA25A">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08076F02">
      <w:pPr>
        <w:spacing w:line="360" w:lineRule="auto"/>
        <w:ind w:firstLine="422" w:firstLineChars="201"/>
      </w:pPr>
      <w:r>
        <w:rPr>
          <w:rFonts w:hint="eastAsia"/>
        </w:rPr>
        <w:t>备注：</w:t>
      </w:r>
    </w:p>
    <w:p w14:paraId="5680D33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4A8EEC0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B846165">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0C1B506">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03853B5C">
      <w:pPr>
        <w:adjustRightInd w:val="0"/>
        <w:snapToGrid w:val="0"/>
        <w:spacing w:line="300" w:lineRule="auto"/>
        <w:rPr>
          <w:rFonts w:eastAsia="楷体_GB2312"/>
          <w:snapToGrid w:val="0"/>
          <w:kern w:val="0"/>
        </w:rPr>
      </w:pPr>
    </w:p>
    <w:p w14:paraId="659C70D4">
      <w:pPr>
        <w:adjustRightInd w:val="0"/>
        <w:snapToGrid w:val="0"/>
        <w:spacing w:line="300" w:lineRule="auto"/>
        <w:rPr>
          <w:snapToGrid w:val="0"/>
          <w:kern w:val="0"/>
        </w:rPr>
      </w:pPr>
      <w:r>
        <w:rPr>
          <w:rFonts w:hint="eastAsia"/>
          <w:snapToGrid w:val="0"/>
          <w:kern w:val="0"/>
        </w:rPr>
        <w:t>投标单位：（盖章）</w:t>
      </w:r>
    </w:p>
    <w:p w14:paraId="0EA0CD3D">
      <w:pPr>
        <w:adjustRightInd w:val="0"/>
        <w:snapToGrid w:val="0"/>
        <w:spacing w:line="300" w:lineRule="auto"/>
        <w:rPr>
          <w:snapToGrid w:val="0"/>
          <w:kern w:val="0"/>
        </w:rPr>
      </w:pPr>
    </w:p>
    <w:p w14:paraId="5449BDC9">
      <w:pPr>
        <w:adjustRightInd w:val="0"/>
        <w:snapToGrid w:val="0"/>
        <w:spacing w:line="300" w:lineRule="auto"/>
        <w:rPr>
          <w:snapToGrid w:val="0"/>
          <w:kern w:val="0"/>
        </w:rPr>
      </w:pPr>
      <w:r>
        <w:rPr>
          <w:rFonts w:hint="eastAsia"/>
          <w:snapToGrid w:val="0"/>
          <w:kern w:val="0"/>
        </w:rPr>
        <w:t>法定代表人或其授权代表：（签字）</w:t>
      </w: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26746F7F">
      <w:pPr>
        <w:pStyle w:val="4"/>
        <w:tabs>
          <w:tab w:val="left" w:pos="371"/>
        </w:tabs>
        <w:spacing w:before="120" w:after="120"/>
        <w:ind w:left="-1" w:leftChars="-1" w:hanging="1"/>
        <w:jc w:val="center"/>
        <w:rPr>
          <w:rFonts w:asciiTheme="minorEastAsia" w:hAnsiTheme="minorEastAsia" w:eastAsiaTheme="minorEastAsia"/>
        </w:rPr>
      </w:pPr>
      <w:bookmarkStart w:id="88" w:name="_格式2__投标保证金凭证"/>
      <w:bookmarkEnd w:id="88"/>
      <w:bookmarkStart w:id="89" w:name="_格式3__"/>
      <w:bookmarkEnd w:id="89"/>
      <w:bookmarkStart w:id="90" w:name="q16"/>
      <w:bookmarkEnd w:id="90"/>
      <w:bookmarkStart w:id="91" w:name="q15"/>
      <w:bookmarkEnd w:id="91"/>
      <w:bookmarkStart w:id="92" w:name="q17"/>
      <w:bookmarkEnd w:id="92"/>
      <w:bookmarkStart w:id="93" w:name="_格式5__"/>
      <w:bookmarkEnd w:id="93"/>
      <w:bookmarkStart w:id="94" w:name="_格式4__"/>
      <w:bookmarkEnd w:id="94"/>
      <w:r>
        <w:rPr>
          <w:rFonts w:asciiTheme="minorEastAsia" w:hAnsiTheme="minorEastAsia" w:eastAsiaTheme="minorEastAsia"/>
        </w:rPr>
        <w:tab/>
      </w:r>
      <w:bookmarkStart w:id="95" w:name="_Toc44690437"/>
      <w:bookmarkStart w:id="96" w:name="_Toc44691401"/>
      <w:bookmarkStart w:id="97" w:name="_Toc44690710"/>
      <w:bookmarkStart w:id="98" w:name="_Toc44691169"/>
      <w:bookmarkStart w:id="99" w:name="_Toc135293191"/>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1" w:name="_Toc135293193"/>
      <w:bookmarkStart w:id="102" w:name="_Toc73610161"/>
      <w:r>
        <w:rPr>
          <w:rFonts w:hint="eastAsia"/>
        </w:rPr>
        <w:t>第九章  附件</w:t>
      </w:r>
      <w:bookmarkEnd w:id="101"/>
      <w:bookmarkEnd w:id="102"/>
    </w:p>
    <w:p w14:paraId="3C84BC95">
      <w:pPr>
        <w:pStyle w:val="2"/>
        <w:spacing w:before="0" w:after="0"/>
      </w:pPr>
      <w:bookmarkStart w:id="103" w:name="_Toc73610162"/>
      <w:bookmarkStart w:id="104" w:name="_Toc135293194"/>
      <w:bookmarkStart w:id="105" w:name="_Toc73613644"/>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2"/>
        <w:spacing w:before="0" w:after="0"/>
      </w:pPr>
      <w:bookmarkStart w:id="106" w:name="_Toc73610163"/>
      <w:bookmarkStart w:id="107" w:name="_Toc135293195"/>
      <w:bookmarkStart w:id="108" w:name="_Toc73613645"/>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2"/>
        <w:spacing w:before="0" w:after="0"/>
      </w:pPr>
      <w:bookmarkStart w:id="109" w:name="_Toc73610164"/>
      <w:bookmarkStart w:id="110" w:name="_Toc135293196"/>
      <w:bookmarkStart w:id="111" w:name="_Toc73613646"/>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2"/>
        <w:spacing w:before="0" w:after="0"/>
      </w:pPr>
      <w:bookmarkStart w:id="112" w:name="_Toc73613647"/>
      <w:bookmarkStart w:id="113" w:name="_Toc135293197"/>
      <w:bookmarkStart w:id="114" w:name="_Toc73610165"/>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2"/>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FangSong_GB2312">
    <w:altName w:val="仿宋_GB2312"/>
    <w:panose1 w:val="02010609060101010101"/>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93B1B">
    <w:pPr>
      <w:pStyle w:val="32"/>
      <w:tabs>
        <w:tab w:val="center" w:pos="4819"/>
        <w:tab w:val="right" w:pos="9638"/>
      </w:tabs>
      <w:jc w:val="left"/>
      <w:rPr>
        <w:u w:val="single"/>
      </w:rPr>
    </w:pPr>
    <w:r>
      <w:rPr>
        <w:rFonts w:hint="eastAsia"/>
      </w:rPr>
      <w:t>项目名称：</w:t>
    </w:r>
    <w:r>
      <w:rPr>
        <w:rFonts w:hint="eastAsia"/>
        <w:lang w:eastAsia="zh-CN"/>
      </w:rPr>
      <w:t>2025年春节慰问品</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SZZZ2024-QC0502</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8D1D6"/>
    <w:multiLevelType w:val="singleLevel"/>
    <w:tmpl w:val="B758D1D6"/>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141D1F"/>
    <w:multiLevelType w:val="multilevel"/>
    <w:tmpl w:val="01141D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3B1481"/>
    <w:multiLevelType w:val="multilevel"/>
    <w:tmpl w:val="243B14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FA2C91"/>
    <w:multiLevelType w:val="singleLevel"/>
    <w:tmpl w:val="3DFA2C91"/>
    <w:lvl w:ilvl="0" w:tentative="0">
      <w:start w:val="1"/>
      <w:numFmt w:val="decimal"/>
      <w:lvlText w:val="%1."/>
      <w:lvlJc w:val="left"/>
      <w:pPr>
        <w:tabs>
          <w:tab w:val="left" w:pos="312"/>
        </w:tabs>
      </w:pPr>
      <w:rPr>
        <w:b/>
      </w:rPr>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8">
    <w:nsid w:val="541285ED"/>
    <w:multiLevelType w:val="singleLevel"/>
    <w:tmpl w:val="541285ED"/>
    <w:lvl w:ilvl="0" w:tentative="0">
      <w:start w:val="1"/>
      <w:numFmt w:val="decimal"/>
      <w:lvlText w:val="%1."/>
      <w:lvlJc w:val="left"/>
      <w:pPr>
        <w:tabs>
          <w:tab w:val="left" w:pos="312"/>
        </w:tabs>
      </w:pPr>
    </w:lvl>
  </w:abstractNum>
  <w:num w:numId="1">
    <w:abstractNumId w:val="1"/>
  </w:num>
  <w:num w:numId="2">
    <w:abstractNumId w:val="4"/>
  </w:num>
  <w:num w:numId="3">
    <w:abstractNumId w:val="2"/>
  </w:num>
  <w:num w:numId="4">
    <w:abstractNumId w:val="6"/>
  </w:num>
  <w:num w:numId="5">
    <w:abstractNumId w:val="8"/>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YmEwMTg1N2RmMDliYTM5MGI2MzY5YjY3MWUyNDU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242"/>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0D7DD7"/>
    <w:rsid w:val="01A22C15"/>
    <w:rsid w:val="01F0299B"/>
    <w:rsid w:val="026E4F91"/>
    <w:rsid w:val="041D095D"/>
    <w:rsid w:val="04AB0032"/>
    <w:rsid w:val="05410997"/>
    <w:rsid w:val="058F525E"/>
    <w:rsid w:val="05A86320"/>
    <w:rsid w:val="05C87DB9"/>
    <w:rsid w:val="08E92ED7"/>
    <w:rsid w:val="091268D2"/>
    <w:rsid w:val="09304FAA"/>
    <w:rsid w:val="0961739E"/>
    <w:rsid w:val="098E6083"/>
    <w:rsid w:val="09D354E6"/>
    <w:rsid w:val="09D40D62"/>
    <w:rsid w:val="0ADA4400"/>
    <w:rsid w:val="0B205B2B"/>
    <w:rsid w:val="0B782559"/>
    <w:rsid w:val="0C234952"/>
    <w:rsid w:val="0D566BC9"/>
    <w:rsid w:val="0D7C1890"/>
    <w:rsid w:val="0D8B597D"/>
    <w:rsid w:val="0E180322"/>
    <w:rsid w:val="0E5928AD"/>
    <w:rsid w:val="0E8C4995"/>
    <w:rsid w:val="0EF27BFB"/>
    <w:rsid w:val="0F0D2BA7"/>
    <w:rsid w:val="0F6A604F"/>
    <w:rsid w:val="0FBC50EF"/>
    <w:rsid w:val="106C0719"/>
    <w:rsid w:val="11040DBB"/>
    <w:rsid w:val="115F3FD7"/>
    <w:rsid w:val="11834124"/>
    <w:rsid w:val="11A259DD"/>
    <w:rsid w:val="11A8471D"/>
    <w:rsid w:val="11F9269A"/>
    <w:rsid w:val="120474A0"/>
    <w:rsid w:val="129245E0"/>
    <w:rsid w:val="13102ABE"/>
    <w:rsid w:val="1331204B"/>
    <w:rsid w:val="14213E6D"/>
    <w:rsid w:val="147A532B"/>
    <w:rsid w:val="14A21079"/>
    <w:rsid w:val="14CF38C9"/>
    <w:rsid w:val="15B65580"/>
    <w:rsid w:val="15C92797"/>
    <w:rsid w:val="15E74C42"/>
    <w:rsid w:val="167D280D"/>
    <w:rsid w:val="17047766"/>
    <w:rsid w:val="172C6F52"/>
    <w:rsid w:val="174A5413"/>
    <w:rsid w:val="174F6F43"/>
    <w:rsid w:val="17884E38"/>
    <w:rsid w:val="17935895"/>
    <w:rsid w:val="17A821AF"/>
    <w:rsid w:val="17F52C18"/>
    <w:rsid w:val="1807166C"/>
    <w:rsid w:val="184530EF"/>
    <w:rsid w:val="18455C50"/>
    <w:rsid w:val="187842FE"/>
    <w:rsid w:val="189A41EE"/>
    <w:rsid w:val="19227A4B"/>
    <w:rsid w:val="19A90B8D"/>
    <w:rsid w:val="1A4E7B88"/>
    <w:rsid w:val="1A603B8F"/>
    <w:rsid w:val="1B3E182A"/>
    <w:rsid w:val="1B4B5195"/>
    <w:rsid w:val="1C174C6F"/>
    <w:rsid w:val="1C7C020D"/>
    <w:rsid w:val="1C8F78BA"/>
    <w:rsid w:val="1C9B0D84"/>
    <w:rsid w:val="1CDD3F3B"/>
    <w:rsid w:val="1D436C02"/>
    <w:rsid w:val="1D4D6869"/>
    <w:rsid w:val="1DF42FCA"/>
    <w:rsid w:val="1E6F3A27"/>
    <w:rsid w:val="1F136AA8"/>
    <w:rsid w:val="2046687E"/>
    <w:rsid w:val="20653333"/>
    <w:rsid w:val="20707345"/>
    <w:rsid w:val="21760101"/>
    <w:rsid w:val="22B25284"/>
    <w:rsid w:val="22C07D9F"/>
    <w:rsid w:val="22EA1935"/>
    <w:rsid w:val="23056CBA"/>
    <w:rsid w:val="234C1E42"/>
    <w:rsid w:val="23C6059E"/>
    <w:rsid w:val="23C95079"/>
    <w:rsid w:val="23CE379E"/>
    <w:rsid w:val="24031A53"/>
    <w:rsid w:val="24307C26"/>
    <w:rsid w:val="248E5D4C"/>
    <w:rsid w:val="24C47897"/>
    <w:rsid w:val="24D521C3"/>
    <w:rsid w:val="24E337F8"/>
    <w:rsid w:val="257638ED"/>
    <w:rsid w:val="258D3B57"/>
    <w:rsid w:val="262336EE"/>
    <w:rsid w:val="269E4C0C"/>
    <w:rsid w:val="27024D1A"/>
    <w:rsid w:val="2774263A"/>
    <w:rsid w:val="279B763B"/>
    <w:rsid w:val="27A41DAB"/>
    <w:rsid w:val="28823097"/>
    <w:rsid w:val="28885E11"/>
    <w:rsid w:val="28C71845"/>
    <w:rsid w:val="2AD85037"/>
    <w:rsid w:val="2BD0253B"/>
    <w:rsid w:val="2C444480"/>
    <w:rsid w:val="2C564DC3"/>
    <w:rsid w:val="2CE90E48"/>
    <w:rsid w:val="2D6C141D"/>
    <w:rsid w:val="2DCB6275"/>
    <w:rsid w:val="2E980D64"/>
    <w:rsid w:val="2EB64B4B"/>
    <w:rsid w:val="2EDB590A"/>
    <w:rsid w:val="2F0A29E3"/>
    <w:rsid w:val="30817D6A"/>
    <w:rsid w:val="3157114E"/>
    <w:rsid w:val="31D9148B"/>
    <w:rsid w:val="31F2037F"/>
    <w:rsid w:val="329B11F6"/>
    <w:rsid w:val="32EB76C8"/>
    <w:rsid w:val="336E087E"/>
    <w:rsid w:val="33A85DA6"/>
    <w:rsid w:val="33B71CA0"/>
    <w:rsid w:val="33C3087D"/>
    <w:rsid w:val="350F28AA"/>
    <w:rsid w:val="35961B12"/>
    <w:rsid w:val="364523AD"/>
    <w:rsid w:val="36700D38"/>
    <w:rsid w:val="36C4673D"/>
    <w:rsid w:val="37626ADD"/>
    <w:rsid w:val="37B10B63"/>
    <w:rsid w:val="37D17C49"/>
    <w:rsid w:val="38950836"/>
    <w:rsid w:val="390721D7"/>
    <w:rsid w:val="393B510C"/>
    <w:rsid w:val="393F4767"/>
    <w:rsid w:val="39A97E97"/>
    <w:rsid w:val="3A260C29"/>
    <w:rsid w:val="3A461688"/>
    <w:rsid w:val="3AA53060"/>
    <w:rsid w:val="3B57268D"/>
    <w:rsid w:val="3B6176CE"/>
    <w:rsid w:val="3BD63AF9"/>
    <w:rsid w:val="3BF9504C"/>
    <w:rsid w:val="3C872BFA"/>
    <w:rsid w:val="3C9D3F8B"/>
    <w:rsid w:val="3CF11603"/>
    <w:rsid w:val="3D5129F3"/>
    <w:rsid w:val="3D7507FB"/>
    <w:rsid w:val="3DB904A1"/>
    <w:rsid w:val="3EB5127A"/>
    <w:rsid w:val="3F503E5E"/>
    <w:rsid w:val="3F6525B0"/>
    <w:rsid w:val="3F9F54BB"/>
    <w:rsid w:val="3FA16EAD"/>
    <w:rsid w:val="3FC16214"/>
    <w:rsid w:val="403501D5"/>
    <w:rsid w:val="41003DB0"/>
    <w:rsid w:val="41576FF8"/>
    <w:rsid w:val="418F600A"/>
    <w:rsid w:val="41923405"/>
    <w:rsid w:val="41D9164E"/>
    <w:rsid w:val="41DD521D"/>
    <w:rsid w:val="423B7022"/>
    <w:rsid w:val="42A87124"/>
    <w:rsid w:val="4389060E"/>
    <w:rsid w:val="43C8028A"/>
    <w:rsid w:val="43D51667"/>
    <w:rsid w:val="443B2C25"/>
    <w:rsid w:val="448421F1"/>
    <w:rsid w:val="44AB315B"/>
    <w:rsid w:val="44C24001"/>
    <w:rsid w:val="45D37D9B"/>
    <w:rsid w:val="46735BD4"/>
    <w:rsid w:val="468E4AE3"/>
    <w:rsid w:val="47374457"/>
    <w:rsid w:val="48194FD5"/>
    <w:rsid w:val="484514CB"/>
    <w:rsid w:val="484F3DFE"/>
    <w:rsid w:val="485D651B"/>
    <w:rsid w:val="48A64365"/>
    <w:rsid w:val="48C86EE1"/>
    <w:rsid w:val="48EB1D78"/>
    <w:rsid w:val="491C63D6"/>
    <w:rsid w:val="49FA6EF8"/>
    <w:rsid w:val="4A77763C"/>
    <w:rsid w:val="4A784961"/>
    <w:rsid w:val="4AB60164"/>
    <w:rsid w:val="4ACF3A3C"/>
    <w:rsid w:val="4B1700DF"/>
    <w:rsid w:val="4C085898"/>
    <w:rsid w:val="4E391564"/>
    <w:rsid w:val="4F0F6A19"/>
    <w:rsid w:val="508807F5"/>
    <w:rsid w:val="51346071"/>
    <w:rsid w:val="51D10A66"/>
    <w:rsid w:val="528A390F"/>
    <w:rsid w:val="528C6991"/>
    <w:rsid w:val="52C3297B"/>
    <w:rsid w:val="531719BC"/>
    <w:rsid w:val="54054633"/>
    <w:rsid w:val="540605E4"/>
    <w:rsid w:val="54210D44"/>
    <w:rsid w:val="547F0032"/>
    <w:rsid w:val="54A02A20"/>
    <w:rsid w:val="55C87B3E"/>
    <w:rsid w:val="560B3A5A"/>
    <w:rsid w:val="56A10D2B"/>
    <w:rsid w:val="57142FA7"/>
    <w:rsid w:val="57325016"/>
    <w:rsid w:val="57F33150"/>
    <w:rsid w:val="58D67D8C"/>
    <w:rsid w:val="58E10577"/>
    <w:rsid w:val="58EE31BF"/>
    <w:rsid w:val="59165EF7"/>
    <w:rsid w:val="59702A12"/>
    <w:rsid w:val="5AED2A9C"/>
    <w:rsid w:val="5BC746C9"/>
    <w:rsid w:val="5CC61F72"/>
    <w:rsid w:val="5CF206F7"/>
    <w:rsid w:val="5D440F45"/>
    <w:rsid w:val="5DCF1811"/>
    <w:rsid w:val="5E483371"/>
    <w:rsid w:val="5EA0340D"/>
    <w:rsid w:val="5ED66C3C"/>
    <w:rsid w:val="5F742666"/>
    <w:rsid w:val="5F7A468D"/>
    <w:rsid w:val="5FDD643B"/>
    <w:rsid w:val="607249AE"/>
    <w:rsid w:val="60BA3E42"/>
    <w:rsid w:val="611F660B"/>
    <w:rsid w:val="6194383B"/>
    <w:rsid w:val="61CB5375"/>
    <w:rsid w:val="623348CA"/>
    <w:rsid w:val="625421DB"/>
    <w:rsid w:val="63D11B11"/>
    <w:rsid w:val="64CD637E"/>
    <w:rsid w:val="65492532"/>
    <w:rsid w:val="65510D5D"/>
    <w:rsid w:val="65687212"/>
    <w:rsid w:val="65CA685B"/>
    <w:rsid w:val="65CF34A7"/>
    <w:rsid w:val="65F660EF"/>
    <w:rsid w:val="661E1452"/>
    <w:rsid w:val="6673798C"/>
    <w:rsid w:val="673905B6"/>
    <w:rsid w:val="67626302"/>
    <w:rsid w:val="681C3942"/>
    <w:rsid w:val="68376930"/>
    <w:rsid w:val="68460AAC"/>
    <w:rsid w:val="68774F7F"/>
    <w:rsid w:val="68AC1CFE"/>
    <w:rsid w:val="68EC626C"/>
    <w:rsid w:val="69731BEA"/>
    <w:rsid w:val="69B20923"/>
    <w:rsid w:val="6A9E4A45"/>
    <w:rsid w:val="6BCD1DE6"/>
    <w:rsid w:val="6C505023"/>
    <w:rsid w:val="6CF41368"/>
    <w:rsid w:val="6D14299F"/>
    <w:rsid w:val="6D672A1E"/>
    <w:rsid w:val="6D965EA7"/>
    <w:rsid w:val="6DC237D1"/>
    <w:rsid w:val="6F40725E"/>
    <w:rsid w:val="6F4C2770"/>
    <w:rsid w:val="6F745D74"/>
    <w:rsid w:val="711172CF"/>
    <w:rsid w:val="71FD54DD"/>
    <w:rsid w:val="72730565"/>
    <w:rsid w:val="729A3A97"/>
    <w:rsid w:val="735F0AE9"/>
    <w:rsid w:val="73770529"/>
    <w:rsid w:val="739A7F5B"/>
    <w:rsid w:val="73E84F83"/>
    <w:rsid w:val="7410294D"/>
    <w:rsid w:val="750464B4"/>
    <w:rsid w:val="752B4572"/>
    <w:rsid w:val="759F5B15"/>
    <w:rsid w:val="765D3B6A"/>
    <w:rsid w:val="76D71644"/>
    <w:rsid w:val="776C2FB6"/>
    <w:rsid w:val="781F1341"/>
    <w:rsid w:val="79982284"/>
    <w:rsid w:val="7998662D"/>
    <w:rsid w:val="7A2F2846"/>
    <w:rsid w:val="7A8C5878"/>
    <w:rsid w:val="7B346CFF"/>
    <w:rsid w:val="7B471854"/>
    <w:rsid w:val="7C552333"/>
    <w:rsid w:val="7CA86C55"/>
    <w:rsid w:val="7CF019C1"/>
    <w:rsid w:val="7D461CAD"/>
    <w:rsid w:val="7D9F66B2"/>
    <w:rsid w:val="7DB54128"/>
    <w:rsid w:val="7DE250A2"/>
    <w:rsid w:val="7DFD162B"/>
    <w:rsid w:val="7E28286A"/>
    <w:rsid w:val="7E4515FE"/>
    <w:rsid w:val="7E5141D4"/>
    <w:rsid w:val="7E7E276B"/>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74</Pages>
  <Words>11989</Words>
  <Characters>12641</Characters>
  <Lines>398</Lines>
  <Paragraphs>112</Paragraphs>
  <TotalTime>3</TotalTime>
  <ScaleCrop>false</ScaleCrop>
  <LinksUpToDate>false</LinksUpToDate>
  <CharactersWithSpaces>12822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中正招标-梁工</cp:lastModifiedBy>
  <cp:lastPrinted>2020-05-26T01:03:00Z</cp:lastPrinted>
  <dcterms:modified xsi:type="dcterms:W3CDTF">2024-12-03T02:03:53Z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0311421F54CC4510918C933CD2B39A41_13</vt:lpwstr>
  </property>
</Properties>
</file>